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8D9E" w14:textId="6AB8494D" w:rsidR="001D5F06" w:rsidRPr="00017E2E" w:rsidRDefault="001D5F06" w:rsidP="00CC61C1">
      <w:pPr>
        <w:tabs>
          <w:tab w:val="left" w:pos="4330"/>
        </w:tabs>
        <w:suppressAutoHyphens/>
        <w:autoSpaceDE w:val="0"/>
        <w:autoSpaceDN w:val="0"/>
        <w:adjustRightInd w:val="0"/>
        <w:rPr>
          <w:rFonts w:ascii="Arial" w:hAnsi="Arial"/>
          <w:b/>
          <w:color w:val="0075BC" w:themeColor="accent1"/>
          <w:sz w:val="40"/>
          <w:szCs w:val="40"/>
        </w:rPr>
      </w:pPr>
      <w:r w:rsidRPr="00017E2E">
        <w:rPr>
          <w:rFonts w:ascii="Arial" w:hAnsi="Arial"/>
          <w:b/>
          <w:color w:val="0075BC" w:themeColor="accent1"/>
          <w:sz w:val="40"/>
          <w:szCs w:val="40"/>
        </w:rPr>
        <w:t>Requirements Related to Surprise Billing</w:t>
      </w:r>
      <w:r w:rsidR="00290838">
        <w:rPr>
          <w:rFonts w:ascii="Arial" w:hAnsi="Arial"/>
          <w:b/>
          <w:color w:val="0075BC" w:themeColor="accent1"/>
          <w:sz w:val="40"/>
          <w:szCs w:val="40"/>
        </w:rPr>
        <w:t xml:space="preserve"> – </w:t>
      </w:r>
      <w:r w:rsidRPr="00017E2E">
        <w:rPr>
          <w:rFonts w:ascii="Arial" w:hAnsi="Arial"/>
          <w:b/>
          <w:color w:val="0075BC" w:themeColor="accent1"/>
          <w:sz w:val="40"/>
          <w:szCs w:val="40"/>
        </w:rPr>
        <w:t>Part I</w:t>
      </w:r>
      <w:r w:rsidR="00CC61C1">
        <w:rPr>
          <w:rFonts w:ascii="Arial" w:hAnsi="Arial"/>
          <w:b/>
          <w:color w:val="0075BC" w:themeColor="accent1"/>
          <w:sz w:val="40"/>
          <w:szCs w:val="40"/>
        </w:rPr>
        <w:t>I</w:t>
      </w:r>
    </w:p>
    <w:p w14:paraId="56223001" w14:textId="13358C79" w:rsidR="00354076" w:rsidRPr="000B706D" w:rsidRDefault="00A57819" w:rsidP="00CC61C1">
      <w:pPr>
        <w:tabs>
          <w:tab w:val="left" w:pos="4330"/>
        </w:tabs>
        <w:suppressAutoHyphens/>
        <w:autoSpaceDE w:val="0"/>
        <w:autoSpaceDN w:val="0"/>
        <w:adjustRightInd w:val="0"/>
        <w:rPr>
          <w:rFonts w:ascii="Arial" w:hAnsi="Arial"/>
          <w:bCs/>
          <w:color w:val="0075BC" w:themeColor="accent1"/>
          <w:sz w:val="22"/>
          <w:szCs w:val="22"/>
        </w:rPr>
      </w:pPr>
      <w:r w:rsidRPr="00E70798">
        <w:rPr>
          <w:rFonts w:ascii="Arial" w:hAnsi="Arial"/>
          <w:bCs/>
          <w:color w:val="0075BC" w:themeColor="accent1"/>
          <w:sz w:val="32"/>
          <w:szCs w:val="32"/>
        </w:rPr>
        <w:t>CHA S</w:t>
      </w:r>
      <w:r w:rsidR="00D715C4" w:rsidRPr="00E70798">
        <w:rPr>
          <w:rFonts w:ascii="Arial" w:hAnsi="Arial"/>
          <w:bCs/>
          <w:color w:val="0075BC" w:themeColor="accent1"/>
          <w:sz w:val="32"/>
          <w:szCs w:val="32"/>
        </w:rPr>
        <w:t>ummary</w:t>
      </w:r>
      <w:r w:rsidR="00B523A1" w:rsidRPr="000B706D">
        <w:rPr>
          <w:rFonts w:ascii="Arial" w:hAnsi="Arial"/>
          <w:bCs/>
          <w:color w:val="0075BC" w:themeColor="accent1"/>
          <w:sz w:val="22"/>
          <w:szCs w:val="22"/>
        </w:rPr>
        <w:tab/>
      </w:r>
    </w:p>
    <w:p w14:paraId="56223002" w14:textId="77777777" w:rsidR="00354076" w:rsidRPr="00127BD7" w:rsidRDefault="005D0B68" w:rsidP="00CC61C1">
      <w:pPr>
        <w:suppressAutoHyphens/>
        <w:autoSpaceDE w:val="0"/>
        <w:autoSpaceDN w:val="0"/>
        <w:adjustRightInd w:val="0"/>
        <w:rPr>
          <w:rFonts w:ascii="Arial" w:hAnsi="Arial"/>
          <w:color w:val="ED1C24" w:themeColor="accent6"/>
        </w:rPr>
      </w:pPr>
      <w:r w:rsidRPr="00127BD7">
        <w:rPr>
          <w:rFonts w:ascii="Arial" w:hAnsi="Arial"/>
          <w:color w:val="ED1C24" w:themeColor="accent6"/>
        </w:rPr>
        <w:t xml:space="preserve">Internal </w:t>
      </w:r>
    </w:p>
    <w:p w14:paraId="56223003" w14:textId="77777777" w:rsidR="005D0B68" w:rsidRPr="00127BD7" w:rsidRDefault="005D0B68" w:rsidP="00CC61C1">
      <w:pPr>
        <w:suppressAutoHyphens/>
        <w:autoSpaceDE w:val="0"/>
        <w:autoSpaceDN w:val="0"/>
        <w:adjustRightInd w:val="0"/>
        <w:rPr>
          <w:color w:val="0075BC"/>
          <w:sz w:val="22"/>
          <w:szCs w:val="22"/>
        </w:rPr>
      </w:pPr>
    </w:p>
    <w:p w14:paraId="2EB43A58" w14:textId="1E5D0DC0" w:rsidR="00BD37F4" w:rsidRPr="00FC62A0" w:rsidRDefault="00D30E48" w:rsidP="00BD37F4">
      <w:pPr>
        <w:rPr>
          <w:rFonts w:cstheme="minorHAnsi"/>
          <w:sz w:val="22"/>
          <w:szCs w:val="22"/>
        </w:rPr>
      </w:pPr>
      <w:bookmarkStart w:id="0" w:name="_Hlk77861209"/>
      <w:r w:rsidRPr="00881448">
        <w:rPr>
          <w:sz w:val="22"/>
          <w:szCs w:val="22"/>
        </w:rPr>
        <w:t xml:space="preserve">On </w:t>
      </w:r>
      <w:r w:rsidR="00FC62A0">
        <w:rPr>
          <w:sz w:val="22"/>
          <w:szCs w:val="22"/>
        </w:rPr>
        <w:t>Oct. 7</w:t>
      </w:r>
      <w:r w:rsidRPr="00881448">
        <w:rPr>
          <w:sz w:val="22"/>
          <w:szCs w:val="22"/>
        </w:rPr>
        <w:t xml:space="preserve">, the </w:t>
      </w:r>
      <w:r w:rsidR="00A858FD" w:rsidRPr="00881448">
        <w:rPr>
          <w:sz w:val="22"/>
          <w:szCs w:val="22"/>
        </w:rPr>
        <w:t>Department</w:t>
      </w:r>
      <w:r w:rsidR="003C2C60" w:rsidRPr="00881448">
        <w:rPr>
          <w:sz w:val="22"/>
          <w:szCs w:val="22"/>
        </w:rPr>
        <w:t>s</w:t>
      </w:r>
      <w:r w:rsidR="00A858FD" w:rsidRPr="00881448">
        <w:rPr>
          <w:sz w:val="22"/>
          <w:szCs w:val="22"/>
        </w:rPr>
        <w:t xml:space="preserve"> of Health and Human Services</w:t>
      </w:r>
      <w:r w:rsidR="00D8078F">
        <w:rPr>
          <w:sz w:val="22"/>
          <w:szCs w:val="22"/>
        </w:rPr>
        <w:t xml:space="preserve"> (HHS)</w:t>
      </w:r>
      <w:r w:rsidR="00A858FD" w:rsidRPr="00881448">
        <w:rPr>
          <w:sz w:val="22"/>
          <w:szCs w:val="22"/>
        </w:rPr>
        <w:t xml:space="preserve">, </w:t>
      </w:r>
      <w:r w:rsidR="003C2C60" w:rsidRPr="00881448">
        <w:rPr>
          <w:sz w:val="22"/>
          <w:szCs w:val="22"/>
        </w:rPr>
        <w:t>Treasury and Labor</w:t>
      </w:r>
      <w:r w:rsidR="00FC06BB">
        <w:rPr>
          <w:sz w:val="22"/>
          <w:szCs w:val="22"/>
        </w:rPr>
        <w:t>,</w:t>
      </w:r>
      <w:r w:rsidR="003C2C60" w:rsidRPr="00881448">
        <w:rPr>
          <w:sz w:val="22"/>
          <w:szCs w:val="22"/>
        </w:rPr>
        <w:t xml:space="preserve"> </w:t>
      </w:r>
      <w:r w:rsidR="00BD37F4">
        <w:rPr>
          <w:sz w:val="22"/>
          <w:szCs w:val="22"/>
        </w:rPr>
        <w:t>with</w:t>
      </w:r>
      <w:r w:rsidR="003C2C60" w:rsidRPr="00881448">
        <w:rPr>
          <w:sz w:val="22"/>
          <w:szCs w:val="22"/>
        </w:rPr>
        <w:t xml:space="preserve"> the Office of Personnel Management issued a </w:t>
      </w:r>
      <w:hyperlink r:id="rId11" w:history="1">
        <w:r w:rsidR="003C2C60" w:rsidRPr="00EB7CB9">
          <w:rPr>
            <w:rStyle w:val="Hyperlink"/>
            <w:sz w:val="22"/>
            <w:szCs w:val="22"/>
          </w:rPr>
          <w:t xml:space="preserve">joint </w:t>
        </w:r>
        <w:r w:rsidR="00A858FD" w:rsidRPr="00EB7CB9">
          <w:rPr>
            <w:rStyle w:val="Hyperlink"/>
            <w:sz w:val="22"/>
            <w:szCs w:val="22"/>
          </w:rPr>
          <w:t xml:space="preserve">interim final rule </w:t>
        </w:r>
        <w:r w:rsidR="00FC06BB" w:rsidRPr="00EB7CB9">
          <w:rPr>
            <w:rStyle w:val="Hyperlink"/>
            <w:sz w:val="22"/>
            <w:szCs w:val="22"/>
          </w:rPr>
          <w:t>(IF</w:t>
        </w:r>
        <w:r w:rsidR="004C26A4" w:rsidRPr="00EB7CB9">
          <w:rPr>
            <w:rStyle w:val="Hyperlink"/>
            <w:sz w:val="22"/>
            <w:szCs w:val="22"/>
          </w:rPr>
          <w:t xml:space="preserve">R) </w:t>
        </w:r>
        <w:r w:rsidR="003C5487" w:rsidRPr="00EB7CB9">
          <w:rPr>
            <w:rStyle w:val="Hyperlink"/>
            <w:sz w:val="22"/>
            <w:szCs w:val="22"/>
          </w:rPr>
          <w:t>with requ</w:t>
        </w:r>
        <w:r w:rsidR="003C5487" w:rsidRPr="00EB7CB9">
          <w:rPr>
            <w:rStyle w:val="Hyperlink"/>
            <w:sz w:val="22"/>
            <w:szCs w:val="22"/>
          </w:rPr>
          <w:t>e</w:t>
        </w:r>
        <w:r w:rsidR="003C5487" w:rsidRPr="00EB7CB9">
          <w:rPr>
            <w:rStyle w:val="Hyperlink"/>
            <w:sz w:val="22"/>
            <w:szCs w:val="22"/>
          </w:rPr>
          <w:t>st for comment</w:t>
        </w:r>
      </w:hyperlink>
      <w:r w:rsidR="003C5487" w:rsidRPr="00881448">
        <w:rPr>
          <w:sz w:val="22"/>
          <w:szCs w:val="22"/>
        </w:rPr>
        <w:t xml:space="preserve"> </w:t>
      </w:r>
      <w:r w:rsidR="00A858FD" w:rsidRPr="00881448">
        <w:rPr>
          <w:sz w:val="22"/>
          <w:szCs w:val="22"/>
        </w:rPr>
        <w:t xml:space="preserve">that </w:t>
      </w:r>
      <w:r w:rsidR="00A303E3" w:rsidRPr="00881448">
        <w:rPr>
          <w:sz w:val="22"/>
          <w:szCs w:val="22"/>
        </w:rPr>
        <w:t>implement</w:t>
      </w:r>
      <w:r w:rsidR="003C2C60" w:rsidRPr="00881448">
        <w:rPr>
          <w:sz w:val="22"/>
          <w:szCs w:val="22"/>
        </w:rPr>
        <w:t>s</w:t>
      </w:r>
      <w:r w:rsidR="00CC61C1">
        <w:rPr>
          <w:sz w:val="22"/>
          <w:szCs w:val="22"/>
        </w:rPr>
        <w:t xml:space="preserve"> provisions in the </w:t>
      </w:r>
      <w:hyperlink r:id="rId12" w:history="1">
        <w:r w:rsidR="00CC61C1" w:rsidRPr="00881448">
          <w:rPr>
            <w:rStyle w:val="Hyperlink"/>
            <w:sz w:val="22"/>
            <w:szCs w:val="22"/>
          </w:rPr>
          <w:t>No Surprises Act</w:t>
        </w:r>
      </w:hyperlink>
      <w:r w:rsidR="00CC61C1">
        <w:rPr>
          <w:sz w:val="22"/>
          <w:szCs w:val="22"/>
        </w:rPr>
        <w:t xml:space="preserve"> related to the independent dispute resolution </w:t>
      </w:r>
      <w:r w:rsidR="00655827">
        <w:rPr>
          <w:sz w:val="22"/>
          <w:szCs w:val="22"/>
        </w:rPr>
        <w:t xml:space="preserve">(IDR) </w:t>
      </w:r>
      <w:r w:rsidR="00FC62A0" w:rsidRPr="00FC62A0">
        <w:rPr>
          <w:rFonts w:cstheme="minorHAnsi"/>
          <w:sz w:val="22"/>
          <w:szCs w:val="22"/>
        </w:rPr>
        <w:t xml:space="preserve">that will be used to determine the out-of-network payment rate when negotiations between </w:t>
      </w:r>
      <w:r w:rsidR="00D8078F">
        <w:rPr>
          <w:rFonts w:cstheme="minorHAnsi"/>
          <w:sz w:val="22"/>
          <w:szCs w:val="22"/>
        </w:rPr>
        <w:t xml:space="preserve">a </w:t>
      </w:r>
      <w:r w:rsidR="00FC62A0" w:rsidRPr="00FC62A0">
        <w:rPr>
          <w:rFonts w:cstheme="minorHAnsi"/>
          <w:sz w:val="22"/>
          <w:szCs w:val="22"/>
        </w:rPr>
        <w:t>provider and insurer are unsuccessful</w:t>
      </w:r>
      <w:r w:rsidR="00FC62A0">
        <w:rPr>
          <w:rFonts w:cstheme="minorHAnsi"/>
          <w:sz w:val="22"/>
          <w:szCs w:val="22"/>
        </w:rPr>
        <w:t xml:space="preserve"> in surprise billing situations. The rule also partially implements the act’s requirements that providers give certain patients go</w:t>
      </w:r>
      <w:r w:rsidR="00CC61C1">
        <w:rPr>
          <w:sz w:val="22"/>
          <w:szCs w:val="22"/>
        </w:rPr>
        <w:t>od faith estimates</w:t>
      </w:r>
      <w:r w:rsidR="00FC62A0">
        <w:rPr>
          <w:sz w:val="22"/>
          <w:szCs w:val="22"/>
        </w:rPr>
        <w:t xml:space="preserve"> of the costs of their care</w:t>
      </w:r>
      <w:r w:rsidR="00BD37F4">
        <w:rPr>
          <w:sz w:val="22"/>
          <w:szCs w:val="22"/>
        </w:rPr>
        <w:t>, as well as a</w:t>
      </w:r>
      <w:r w:rsidR="00BD37F4" w:rsidRPr="00FC62A0">
        <w:rPr>
          <w:rFonts w:cstheme="minorHAnsi"/>
          <w:sz w:val="22"/>
          <w:szCs w:val="22"/>
        </w:rPr>
        <w:t xml:space="preserve"> dispute resolution process for situations where an uninsured or self-pay patient receives a good faith estimate and then is billed for an amount substantially in excess of the estimate.</w:t>
      </w:r>
    </w:p>
    <w:p w14:paraId="30B67171" w14:textId="77777777" w:rsidR="003E11CD" w:rsidRDefault="003E11CD" w:rsidP="00BD37F4">
      <w:pPr>
        <w:rPr>
          <w:sz w:val="22"/>
          <w:szCs w:val="22"/>
        </w:rPr>
      </w:pPr>
    </w:p>
    <w:p w14:paraId="01C1B7E9" w14:textId="0FEA51E2" w:rsidR="00670A26" w:rsidRDefault="000D2D1B" w:rsidP="00CC61C1">
      <w:pPr>
        <w:rPr>
          <w:rFonts w:cstheme="minorHAnsi"/>
        </w:rPr>
      </w:pPr>
      <w:r w:rsidRPr="00881448">
        <w:rPr>
          <w:sz w:val="22"/>
          <w:szCs w:val="22"/>
        </w:rPr>
        <w:t xml:space="preserve">The </w:t>
      </w:r>
      <w:r w:rsidR="00FC62A0">
        <w:rPr>
          <w:sz w:val="22"/>
          <w:szCs w:val="22"/>
        </w:rPr>
        <w:t>No Surprises Act</w:t>
      </w:r>
      <w:r w:rsidR="007E1E6B" w:rsidRPr="00881448">
        <w:rPr>
          <w:sz w:val="22"/>
          <w:szCs w:val="22"/>
        </w:rPr>
        <w:t xml:space="preserve"> </w:t>
      </w:r>
      <w:r w:rsidRPr="00881448">
        <w:rPr>
          <w:sz w:val="22"/>
          <w:szCs w:val="22"/>
        </w:rPr>
        <w:t xml:space="preserve">protects enrollees covered by private insurance from surprise medical bills when they receive emergency services, non-emergency services from </w:t>
      </w:r>
      <w:r w:rsidR="00634544">
        <w:rPr>
          <w:sz w:val="22"/>
          <w:szCs w:val="22"/>
        </w:rPr>
        <w:t>out-of-network</w:t>
      </w:r>
      <w:r w:rsidRPr="00881448">
        <w:rPr>
          <w:sz w:val="22"/>
          <w:szCs w:val="22"/>
        </w:rPr>
        <w:t xml:space="preserve"> providers at </w:t>
      </w:r>
      <w:r w:rsidR="00634544">
        <w:rPr>
          <w:sz w:val="22"/>
          <w:szCs w:val="22"/>
        </w:rPr>
        <w:t>in-network</w:t>
      </w:r>
      <w:r w:rsidRPr="00881448">
        <w:rPr>
          <w:sz w:val="22"/>
          <w:szCs w:val="22"/>
        </w:rPr>
        <w:t xml:space="preserve"> facilities, </w:t>
      </w:r>
      <w:r w:rsidR="00FC06BB">
        <w:rPr>
          <w:sz w:val="22"/>
          <w:szCs w:val="22"/>
        </w:rPr>
        <w:t>or</w:t>
      </w:r>
      <w:r w:rsidRPr="00881448">
        <w:rPr>
          <w:sz w:val="22"/>
          <w:szCs w:val="22"/>
        </w:rPr>
        <w:t xml:space="preserve"> air ambulance services from </w:t>
      </w:r>
      <w:r w:rsidR="00634544">
        <w:rPr>
          <w:sz w:val="22"/>
          <w:szCs w:val="22"/>
        </w:rPr>
        <w:t>out-of-network</w:t>
      </w:r>
      <w:r w:rsidRPr="00881448">
        <w:rPr>
          <w:sz w:val="22"/>
          <w:szCs w:val="22"/>
        </w:rPr>
        <w:t xml:space="preserve"> air ambulance services. </w:t>
      </w:r>
      <w:r w:rsidR="00670A26">
        <w:rPr>
          <w:sz w:val="22"/>
          <w:szCs w:val="22"/>
        </w:rPr>
        <w:t xml:space="preserve">The </w:t>
      </w:r>
      <w:r w:rsidR="007E1E6B">
        <w:rPr>
          <w:sz w:val="22"/>
          <w:szCs w:val="22"/>
        </w:rPr>
        <w:t xml:space="preserve">act </w:t>
      </w:r>
      <w:r w:rsidR="00670A26">
        <w:rPr>
          <w:sz w:val="22"/>
          <w:szCs w:val="22"/>
        </w:rPr>
        <w:t xml:space="preserve">does not apply to </w:t>
      </w:r>
      <w:r w:rsidR="00FC62A0">
        <w:rPr>
          <w:sz w:val="22"/>
          <w:szCs w:val="22"/>
        </w:rPr>
        <w:t xml:space="preserve">public payers, </w:t>
      </w:r>
      <w:r w:rsidR="00670A26" w:rsidRPr="00670A26">
        <w:rPr>
          <w:sz w:val="22"/>
          <w:szCs w:val="22"/>
        </w:rPr>
        <w:t>short-term limited duration plans and other types of limited insurance</w:t>
      </w:r>
      <w:r w:rsidR="00670A26">
        <w:rPr>
          <w:sz w:val="22"/>
          <w:szCs w:val="22"/>
        </w:rPr>
        <w:t>, but does apply to the Federal Employees Health Benefit Plan.</w:t>
      </w:r>
      <w:r w:rsidR="00670A26">
        <w:t xml:space="preserve"> </w:t>
      </w:r>
    </w:p>
    <w:p w14:paraId="073DFE63" w14:textId="7054C71F" w:rsidR="00FC62A0" w:rsidRPr="00FC62A0" w:rsidRDefault="00FC62A0" w:rsidP="00CC61C1">
      <w:pPr>
        <w:rPr>
          <w:rFonts w:cstheme="minorHAnsi"/>
          <w:sz w:val="22"/>
          <w:szCs w:val="22"/>
        </w:rPr>
      </w:pPr>
    </w:p>
    <w:p w14:paraId="4612DE74" w14:textId="67CC25EA" w:rsidR="00BD37F4" w:rsidRPr="00881448" w:rsidRDefault="00BD37F4" w:rsidP="00BD37F4">
      <w:pPr>
        <w:rPr>
          <w:sz w:val="22"/>
          <w:szCs w:val="22"/>
        </w:rPr>
      </w:pPr>
      <w:r>
        <w:rPr>
          <w:rFonts w:cstheme="minorHAnsi"/>
          <w:sz w:val="22"/>
          <w:szCs w:val="22"/>
        </w:rPr>
        <w:t xml:space="preserve">The detailed summary below </w:t>
      </w:r>
      <w:r w:rsidRPr="00881448">
        <w:rPr>
          <w:sz w:val="22"/>
          <w:szCs w:val="22"/>
        </w:rPr>
        <w:t xml:space="preserve">highlights provisions in the </w:t>
      </w:r>
      <w:r>
        <w:rPr>
          <w:sz w:val="22"/>
          <w:szCs w:val="22"/>
        </w:rPr>
        <w:t>IFR</w:t>
      </w:r>
      <w:r w:rsidRPr="00881448">
        <w:rPr>
          <w:sz w:val="22"/>
          <w:szCs w:val="22"/>
        </w:rPr>
        <w:t xml:space="preserve"> with implications for children’s hospitals</w:t>
      </w:r>
      <w:r>
        <w:rPr>
          <w:sz w:val="22"/>
          <w:szCs w:val="22"/>
        </w:rPr>
        <w:t>, as well as selected requests for comment that are included in the rule</w:t>
      </w:r>
      <w:r w:rsidRPr="00881448">
        <w:rPr>
          <w:sz w:val="22"/>
          <w:szCs w:val="22"/>
        </w:rPr>
        <w:t xml:space="preserve">. </w:t>
      </w:r>
      <w:r>
        <w:rPr>
          <w:sz w:val="22"/>
          <w:szCs w:val="22"/>
        </w:rPr>
        <w:t xml:space="preserve"> We also seek children’s hospitals’ feedback on the following issues, in addition to all aspects of the rule. </w:t>
      </w:r>
    </w:p>
    <w:p w14:paraId="498A5101" w14:textId="6B42EE72" w:rsidR="00D8078F" w:rsidRDefault="00FC62A0" w:rsidP="00655827">
      <w:pPr>
        <w:numPr>
          <w:ilvl w:val="0"/>
          <w:numId w:val="41"/>
        </w:numPr>
        <w:spacing w:line="259" w:lineRule="auto"/>
        <w:rPr>
          <w:rFonts w:cstheme="minorHAnsi"/>
          <w:sz w:val="22"/>
          <w:szCs w:val="22"/>
        </w:rPr>
      </w:pPr>
      <w:bookmarkStart w:id="1" w:name="_Hlk77861437"/>
      <w:bookmarkEnd w:id="0"/>
      <w:r w:rsidRPr="00FC62A0">
        <w:rPr>
          <w:rFonts w:cstheme="minorHAnsi"/>
          <w:sz w:val="22"/>
          <w:szCs w:val="22"/>
        </w:rPr>
        <w:t>T</w:t>
      </w:r>
      <w:r w:rsidR="00655827" w:rsidRPr="00FC62A0">
        <w:rPr>
          <w:rFonts w:cstheme="minorHAnsi"/>
          <w:sz w:val="22"/>
          <w:szCs w:val="22"/>
        </w:rPr>
        <w:t xml:space="preserve">he </w:t>
      </w:r>
      <w:r w:rsidR="00BD37F4">
        <w:rPr>
          <w:rFonts w:cstheme="minorHAnsi"/>
          <w:sz w:val="22"/>
          <w:szCs w:val="22"/>
        </w:rPr>
        <w:t xml:space="preserve">rule implements the </w:t>
      </w:r>
      <w:r>
        <w:rPr>
          <w:rFonts w:cstheme="minorHAnsi"/>
          <w:sz w:val="22"/>
          <w:szCs w:val="22"/>
        </w:rPr>
        <w:t>law</w:t>
      </w:r>
      <w:r w:rsidR="00655827" w:rsidRPr="00FC62A0">
        <w:rPr>
          <w:rFonts w:cstheme="minorHAnsi"/>
          <w:sz w:val="22"/>
          <w:szCs w:val="22"/>
        </w:rPr>
        <w:t xml:space="preserve">’s </w:t>
      </w:r>
      <w:r w:rsidRPr="00FC62A0">
        <w:rPr>
          <w:rFonts w:cstheme="minorHAnsi"/>
          <w:sz w:val="22"/>
          <w:szCs w:val="22"/>
        </w:rPr>
        <w:t>IDR process</w:t>
      </w:r>
      <w:r w:rsidR="00067C7F">
        <w:rPr>
          <w:rFonts w:cstheme="minorHAnsi"/>
          <w:sz w:val="22"/>
          <w:szCs w:val="22"/>
        </w:rPr>
        <w:t xml:space="preserve"> in such a way </w:t>
      </w:r>
      <w:r w:rsidR="00067C7F" w:rsidRPr="00067C7F">
        <w:rPr>
          <w:rFonts w:cstheme="minorHAnsi"/>
          <w:sz w:val="22"/>
          <w:szCs w:val="22"/>
        </w:rPr>
        <w:t xml:space="preserve">that </w:t>
      </w:r>
      <w:r w:rsidR="00067C7F">
        <w:rPr>
          <w:rFonts w:cstheme="minorHAnsi"/>
          <w:sz w:val="22"/>
          <w:szCs w:val="22"/>
        </w:rPr>
        <w:t xml:space="preserve">it effectively </w:t>
      </w:r>
      <w:r w:rsidR="00067C7F" w:rsidRPr="00067C7F">
        <w:rPr>
          <w:rFonts w:cstheme="minorHAnsi"/>
          <w:sz w:val="22"/>
          <w:szCs w:val="22"/>
        </w:rPr>
        <w:t xml:space="preserve">establishes a de facto benchmark payment rate for out-of-network emergency and certain non-emergency services that are subject to </w:t>
      </w:r>
      <w:r w:rsidR="00067C7F">
        <w:rPr>
          <w:rFonts w:cstheme="minorHAnsi"/>
          <w:sz w:val="22"/>
          <w:szCs w:val="22"/>
        </w:rPr>
        <w:t xml:space="preserve">the act’s </w:t>
      </w:r>
      <w:r w:rsidR="00067C7F" w:rsidRPr="00067C7F">
        <w:rPr>
          <w:rFonts w:cstheme="minorHAnsi"/>
          <w:sz w:val="22"/>
          <w:szCs w:val="22"/>
        </w:rPr>
        <w:t>surprise billing protections</w:t>
      </w:r>
      <w:r w:rsidR="00D8078F">
        <w:rPr>
          <w:rFonts w:cstheme="minorHAnsi"/>
          <w:sz w:val="22"/>
          <w:szCs w:val="22"/>
        </w:rPr>
        <w:t xml:space="preserve"> by requiring arbiters to give </w:t>
      </w:r>
      <w:r w:rsidR="00D8078F" w:rsidRPr="00FC62A0">
        <w:rPr>
          <w:rFonts w:cstheme="minorHAnsi"/>
          <w:sz w:val="22"/>
          <w:szCs w:val="22"/>
        </w:rPr>
        <w:t>undue weight to the median contracted rate</w:t>
      </w:r>
      <w:r w:rsidR="00D8078F">
        <w:rPr>
          <w:rFonts w:cstheme="minorHAnsi"/>
          <w:sz w:val="22"/>
          <w:szCs w:val="22"/>
        </w:rPr>
        <w:t xml:space="preserve"> </w:t>
      </w:r>
      <w:r w:rsidR="00D8078F" w:rsidRPr="00FC62A0">
        <w:rPr>
          <w:rFonts w:cstheme="minorHAnsi"/>
          <w:sz w:val="22"/>
          <w:szCs w:val="22"/>
        </w:rPr>
        <w:t>for similar services and providers in the geographic area</w:t>
      </w:r>
      <w:r w:rsidR="00D8078F">
        <w:rPr>
          <w:rFonts w:cstheme="minorHAnsi"/>
          <w:sz w:val="22"/>
          <w:szCs w:val="22"/>
        </w:rPr>
        <w:t xml:space="preserve"> when making the final payment decision.  </w:t>
      </w:r>
    </w:p>
    <w:p w14:paraId="2F66A807" w14:textId="4F4A79F0" w:rsidR="00655827" w:rsidRPr="00BD37F4" w:rsidRDefault="00D8078F" w:rsidP="00BD37F4">
      <w:pPr>
        <w:numPr>
          <w:ilvl w:val="1"/>
          <w:numId w:val="41"/>
        </w:numPr>
        <w:spacing w:line="259" w:lineRule="auto"/>
        <w:ind w:left="720"/>
        <w:rPr>
          <w:rFonts w:cstheme="minorHAnsi"/>
          <w:b/>
          <w:bCs/>
          <w:sz w:val="22"/>
          <w:szCs w:val="22"/>
        </w:rPr>
      </w:pPr>
      <w:r w:rsidRPr="00BD37F4">
        <w:rPr>
          <w:rFonts w:cstheme="minorHAnsi"/>
          <w:b/>
          <w:bCs/>
          <w:sz w:val="22"/>
          <w:szCs w:val="22"/>
        </w:rPr>
        <w:t>We are concerned that t</w:t>
      </w:r>
      <w:r w:rsidR="00FC62A0" w:rsidRPr="00BD37F4">
        <w:rPr>
          <w:rFonts w:cstheme="minorHAnsi"/>
          <w:b/>
          <w:bCs/>
          <w:sz w:val="22"/>
          <w:szCs w:val="22"/>
        </w:rPr>
        <w:t xml:space="preserve">he emphasis on the median contracted rate </w:t>
      </w:r>
      <w:r w:rsidR="00655827" w:rsidRPr="00BD37F4">
        <w:rPr>
          <w:rFonts w:cstheme="minorHAnsi"/>
          <w:b/>
          <w:bCs/>
          <w:sz w:val="22"/>
          <w:szCs w:val="22"/>
        </w:rPr>
        <w:t>could disincentivize insurers from contracting with children’s hospitals or lead to artificially low rate</w:t>
      </w:r>
      <w:r w:rsidRPr="00BD37F4">
        <w:rPr>
          <w:rFonts w:cstheme="minorHAnsi"/>
          <w:b/>
          <w:bCs/>
          <w:sz w:val="22"/>
          <w:szCs w:val="22"/>
        </w:rPr>
        <w:t>s</w:t>
      </w:r>
      <w:r w:rsidR="00BD37F4">
        <w:rPr>
          <w:rFonts w:cstheme="minorHAnsi"/>
          <w:b/>
          <w:bCs/>
          <w:sz w:val="22"/>
          <w:szCs w:val="22"/>
        </w:rPr>
        <w:t>,</w:t>
      </w:r>
      <w:r w:rsidRPr="00BD37F4">
        <w:rPr>
          <w:rFonts w:cstheme="minorHAnsi"/>
          <w:b/>
          <w:bCs/>
          <w:sz w:val="22"/>
          <w:szCs w:val="22"/>
        </w:rPr>
        <w:t xml:space="preserve"> and seek children’s hospitals</w:t>
      </w:r>
      <w:r w:rsidR="00BD37F4">
        <w:rPr>
          <w:rFonts w:cstheme="minorHAnsi"/>
          <w:b/>
          <w:bCs/>
          <w:sz w:val="22"/>
          <w:szCs w:val="22"/>
        </w:rPr>
        <w:t>’</w:t>
      </w:r>
      <w:r w:rsidRPr="00BD37F4">
        <w:rPr>
          <w:rFonts w:cstheme="minorHAnsi"/>
          <w:b/>
          <w:bCs/>
          <w:sz w:val="22"/>
          <w:szCs w:val="22"/>
        </w:rPr>
        <w:t xml:space="preserve"> feedback on current and anticipated challenges negotiating with payers. </w:t>
      </w:r>
      <w:r w:rsidR="00655827" w:rsidRPr="00BD37F4">
        <w:rPr>
          <w:rFonts w:cstheme="minorHAnsi"/>
          <w:b/>
          <w:bCs/>
          <w:sz w:val="22"/>
          <w:szCs w:val="22"/>
        </w:rPr>
        <w:t xml:space="preserve"> </w:t>
      </w:r>
    </w:p>
    <w:p w14:paraId="64216DC1" w14:textId="7734C041" w:rsidR="00D8078F" w:rsidRDefault="00FC62A0" w:rsidP="00655827">
      <w:pPr>
        <w:numPr>
          <w:ilvl w:val="0"/>
          <w:numId w:val="41"/>
        </w:numPr>
        <w:spacing w:line="259" w:lineRule="auto"/>
        <w:rPr>
          <w:rFonts w:cstheme="minorHAnsi"/>
          <w:sz w:val="22"/>
          <w:szCs w:val="22"/>
        </w:rPr>
      </w:pPr>
      <w:r w:rsidRPr="00FC62A0">
        <w:rPr>
          <w:rFonts w:cstheme="minorHAnsi"/>
          <w:sz w:val="22"/>
          <w:szCs w:val="22"/>
        </w:rPr>
        <w:t>T</w:t>
      </w:r>
      <w:r w:rsidR="00655827" w:rsidRPr="00FC62A0">
        <w:rPr>
          <w:rFonts w:cstheme="minorHAnsi"/>
          <w:sz w:val="22"/>
          <w:szCs w:val="22"/>
        </w:rPr>
        <w:t xml:space="preserve">he </w:t>
      </w:r>
      <w:r w:rsidR="00BD37F4">
        <w:rPr>
          <w:rFonts w:cstheme="minorHAnsi"/>
          <w:sz w:val="22"/>
          <w:szCs w:val="22"/>
        </w:rPr>
        <w:t xml:space="preserve">rule implements the </w:t>
      </w:r>
      <w:r w:rsidR="00655827" w:rsidRPr="00FC62A0">
        <w:rPr>
          <w:rFonts w:cstheme="minorHAnsi"/>
          <w:sz w:val="22"/>
          <w:szCs w:val="22"/>
        </w:rPr>
        <w:t>law’s requirement that providers give a good faith estimate to certain patients</w:t>
      </w:r>
      <w:r w:rsidR="00067C7F">
        <w:rPr>
          <w:rFonts w:cstheme="minorHAnsi"/>
          <w:sz w:val="22"/>
          <w:szCs w:val="22"/>
        </w:rPr>
        <w:t xml:space="preserve">, </w:t>
      </w:r>
      <w:r w:rsidR="00655827" w:rsidRPr="00FC62A0">
        <w:rPr>
          <w:rFonts w:cstheme="minorHAnsi"/>
          <w:sz w:val="22"/>
          <w:szCs w:val="22"/>
        </w:rPr>
        <w:t xml:space="preserve">limiting </w:t>
      </w:r>
      <w:r w:rsidRPr="00FC62A0">
        <w:rPr>
          <w:rFonts w:cstheme="minorHAnsi"/>
          <w:sz w:val="22"/>
          <w:szCs w:val="22"/>
        </w:rPr>
        <w:t>it</w:t>
      </w:r>
      <w:r w:rsidR="00655827" w:rsidRPr="00FC62A0">
        <w:rPr>
          <w:rFonts w:cstheme="minorHAnsi"/>
          <w:sz w:val="22"/>
          <w:szCs w:val="22"/>
        </w:rPr>
        <w:t xml:space="preserve"> to uninsured and self-pay patients including those who are shopping for services. Future rulemaking will </w:t>
      </w:r>
      <w:r w:rsidRPr="00FC62A0">
        <w:rPr>
          <w:rFonts w:cstheme="minorHAnsi"/>
          <w:sz w:val="22"/>
          <w:szCs w:val="22"/>
        </w:rPr>
        <w:t>require</w:t>
      </w:r>
      <w:r w:rsidR="00655827" w:rsidRPr="00FC62A0">
        <w:rPr>
          <w:rFonts w:cstheme="minorHAnsi"/>
          <w:sz w:val="22"/>
          <w:szCs w:val="22"/>
        </w:rPr>
        <w:t xml:space="preserve"> providers </w:t>
      </w:r>
      <w:r w:rsidRPr="00FC62A0">
        <w:rPr>
          <w:rFonts w:cstheme="minorHAnsi"/>
          <w:sz w:val="22"/>
          <w:szCs w:val="22"/>
        </w:rPr>
        <w:t xml:space="preserve">to </w:t>
      </w:r>
      <w:r w:rsidR="00655827" w:rsidRPr="00FC62A0">
        <w:rPr>
          <w:rFonts w:cstheme="minorHAnsi"/>
          <w:sz w:val="22"/>
          <w:szCs w:val="22"/>
        </w:rPr>
        <w:t xml:space="preserve">furnish good faith estimates to </w:t>
      </w:r>
      <w:r w:rsidRPr="00FC62A0">
        <w:rPr>
          <w:rFonts w:cstheme="minorHAnsi"/>
          <w:sz w:val="22"/>
          <w:szCs w:val="22"/>
        </w:rPr>
        <w:t xml:space="preserve">patients and their </w:t>
      </w:r>
      <w:r w:rsidR="00655827" w:rsidRPr="00FC62A0">
        <w:rPr>
          <w:rFonts w:cstheme="minorHAnsi"/>
          <w:sz w:val="22"/>
          <w:szCs w:val="22"/>
        </w:rPr>
        <w:t xml:space="preserve">plan for inclusion in </w:t>
      </w:r>
      <w:r w:rsidR="00067C7F">
        <w:rPr>
          <w:rFonts w:cstheme="minorHAnsi"/>
          <w:sz w:val="22"/>
          <w:szCs w:val="22"/>
        </w:rPr>
        <w:t>an</w:t>
      </w:r>
      <w:r w:rsidR="00655827" w:rsidRPr="00FC62A0">
        <w:rPr>
          <w:rFonts w:cstheme="minorHAnsi"/>
          <w:sz w:val="22"/>
          <w:szCs w:val="22"/>
        </w:rPr>
        <w:t xml:space="preserve"> advanced explanation of benefits.</w:t>
      </w:r>
    </w:p>
    <w:p w14:paraId="1048EC23" w14:textId="16F09DF8" w:rsidR="00655827" w:rsidRPr="00BD37F4" w:rsidRDefault="00D8078F" w:rsidP="00BD37F4">
      <w:pPr>
        <w:numPr>
          <w:ilvl w:val="1"/>
          <w:numId w:val="41"/>
        </w:numPr>
        <w:spacing w:line="259" w:lineRule="auto"/>
        <w:ind w:left="720"/>
        <w:rPr>
          <w:rFonts w:cstheme="minorHAnsi"/>
          <w:b/>
          <w:bCs/>
          <w:sz w:val="22"/>
          <w:szCs w:val="22"/>
        </w:rPr>
      </w:pPr>
      <w:r w:rsidRPr="00BD37F4">
        <w:rPr>
          <w:rFonts w:cstheme="minorHAnsi"/>
          <w:b/>
          <w:bCs/>
          <w:sz w:val="22"/>
          <w:szCs w:val="22"/>
        </w:rPr>
        <w:t xml:space="preserve">We seek children’s hospital feedback on the required content of </w:t>
      </w:r>
      <w:r w:rsidR="00BD37F4">
        <w:rPr>
          <w:rFonts w:cstheme="minorHAnsi"/>
          <w:b/>
          <w:bCs/>
          <w:sz w:val="22"/>
          <w:szCs w:val="22"/>
        </w:rPr>
        <w:t xml:space="preserve">the </w:t>
      </w:r>
      <w:r w:rsidRPr="00BD37F4">
        <w:rPr>
          <w:rFonts w:cstheme="minorHAnsi"/>
          <w:b/>
          <w:bCs/>
          <w:sz w:val="22"/>
          <w:szCs w:val="22"/>
        </w:rPr>
        <w:t>good faith estimates</w:t>
      </w:r>
      <w:r w:rsidR="00BD37F4">
        <w:rPr>
          <w:rFonts w:cstheme="minorHAnsi"/>
          <w:b/>
          <w:bCs/>
          <w:sz w:val="22"/>
          <w:szCs w:val="22"/>
        </w:rPr>
        <w:t>,</w:t>
      </w:r>
      <w:r w:rsidRPr="00BD37F4">
        <w:rPr>
          <w:rFonts w:cstheme="minorHAnsi"/>
          <w:b/>
          <w:bCs/>
          <w:sz w:val="22"/>
          <w:szCs w:val="22"/>
        </w:rPr>
        <w:t xml:space="preserve"> as well as the process to develop the estimate and provide it to patients and their families.  </w:t>
      </w:r>
      <w:r w:rsidR="00655827" w:rsidRPr="00BD37F4">
        <w:rPr>
          <w:rFonts w:cstheme="minorHAnsi"/>
          <w:b/>
          <w:bCs/>
          <w:sz w:val="22"/>
          <w:szCs w:val="22"/>
        </w:rPr>
        <w:t xml:space="preserve"> </w:t>
      </w:r>
    </w:p>
    <w:p w14:paraId="4B65F2B3" w14:textId="77777777" w:rsidR="00655827" w:rsidRDefault="00655827" w:rsidP="00CC61C1">
      <w:pPr>
        <w:rPr>
          <w:b/>
          <w:bCs/>
          <w:sz w:val="22"/>
          <w:szCs w:val="22"/>
        </w:rPr>
      </w:pPr>
    </w:p>
    <w:bookmarkEnd w:id="1"/>
    <w:p w14:paraId="2926B3FC" w14:textId="27E8FA47" w:rsidR="00ED5850" w:rsidRPr="00FC62A0" w:rsidRDefault="00655827" w:rsidP="00CC61C1">
      <w:pPr>
        <w:rPr>
          <w:b/>
          <w:sz w:val="22"/>
          <w:szCs w:val="22"/>
        </w:rPr>
      </w:pPr>
      <w:r w:rsidRPr="00881448">
        <w:rPr>
          <w:sz w:val="22"/>
          <w:szCs w:val="22"/>
        </w:rPr>
        <w:t>Th</w:t>
      </w:r>
      <w:r>
        <w:rPr>
          <w:sz w:val="22"/>
          <w:szCs w:val="22"/>
        </w:rPr>
        <w:t>e</w:t>
      </w:r>
      <w:r w:rsidRPr="00881448">
        <w:rPr>
          <w:sz w:val="22"/>
          <w:szCs w:val="22"/>
        </w:rPr>
        <w:t xml:space="preserve"> </w:t>
      </w:r>
      <w:r>
        <w:rPr>
          <w:sz w:val="22"/>
          <w:szCs w:val="22"/>
        </w:rPr>
        <w:t>IFR</w:t>
      </w:r>
      <w:r w:rsidRPr="00881448">
        <w:rPr>
          <w:sz w:val="22"/>
          <w:szCs w:val="22"/>
        </w:rPr>
        <w:t xml:space="preserve"> </w:t>
      </w:r>
      <w:r w:rsidR="00067C7F">
        <w:rPr>
          <w:sz w:val="22"/>
          <w:szCs w:val="22"/>
        </w:rPr>
        <w:t>is effective now and will generally apply to</w:t>
      </w:r>
      <w:r>
        <w:rPr>
          <w:sz w:val="22"/>
          <w:szCs w:val="22"/>
        </w:rPr>
        <w:t xml:space="preserve"> the </w:t>
      </w:r>
      <w:r w:rsidRPr="00881448">
        <w:rPr>
          <w:sz w:val="22"/>
          <w:szCs w:val="22"/>
        </w:rPr>
        <w:t>insurance plan year that begins Jan. 1, 2022,</w:t>
      </w:r>
      <w:r>
        <w:rPr>
          <w:sz w:val="22"/>
          <w:szCs w:val="22"/>
        </w:rPr>
        <w:t xml:space="preserve"> </w:t>
      </w:r>
      <w:r w:rsidRPr="00881448">
        <w:rPr>
          <w:sz w:val="22"/>
          <w:szCs w:val="22"/>
        </w:rPr>
        <w:t xml:space="preserve">but the departments are accepting comments </w:t>
      </w:r>
      <w:r w:rsidRPr="00655827">
        <w:rPr>
          <w:sz w:val="22"/>
          <w:szCs w:val="22"/>
        </w:rPr>
        <w:t xml:space="preserve">until </w:t>
      </w:r>
      <w:r w:rsidRPr="00655827">
        <w:rPr>
          <w:b/>
          <w:bCs/>
          <w:sz w:val="22"/>
          <w:szCs w:val="22"/>
        </w:rPr>
        <w:t>COB Dec. 6</w:t>
      </w:r>
      <w:r w:rsidRPr="00655827">
        <w:rPr>
          <w:sz w:val="22"/>
          <w:szCs w:val="22"/>
        </w:rPr>
        <w:t>.</w:t>
      </w:r>
      <w:r>
        <w:rPr>
          <w:sz w:val="22"/>
          <w:szCs w:val="22"/>
        </w:rPr>
        <w:t xml:space="preserve"> </w:t>
      </w:r>
      <w:r w:rsidR="00A30D82" w:rsidRPr="00FC62A0">
        <w:rPr>
          <w:bCs/>
          <w:sz w:val="22"/>
          <w:szCs w:val="22"/>
        </w:rPr>
        <w:t xml:space="preserve">Children’s hospital feedback should be sent to </w:t>
      </w:r>
      <w:hyperlink r:id="rId13" w:history="1">
        <w:r w:rsidR="00A30D82" w:rsidRPr="00FC62A0">
          <w:rPr>
            <w:rStyle w:val="Hyperlink"/>
            <w:bCs/>
            <w:sz w:val="22"/>
            <w:szCs w:val="22"/>
          </w:rPr>
          <w:t>Jan Kaplan</w:t>
        </w:r>
      </w:hyperlink>
      <w:r w:rsidR="00A30D82" w:rsidRPr="00FC62A0">
        <w:rPr>
          <w:bCs/>
          <w:sz w:val="22"/>
          <w:szCs w:val="22"/>
        </w:rPr>
        <w:t xml:space="preserve"> </w:t>
      </w:r>
      <w:r w:rsidR="00A30D82" w:rsidRPr="00FC62A0">
        <w:rPr>
          <w:b/>
          <w:sz w:val="22"/>
          <w:szCs w:val="22"/>
        </w:rPr>
        <w:t xml:space="preserve">by COB, </w:t>
      </w:r>
      <w:r w:rsidR="00FC62A0" w:rsidRPr="00FC62A0">
        <w:rPr>
          <w:b/>
          <w:sz w:val="22"/>
          <w:szCs w:val="22"/>
        </w:rPr>
        <w:t>Nov. 8</w:t>
      </w:r>
      <w:r w:rsidR="00FC62A0">
        <w:rPr>
          <w:b/>
          <w:sz w:val="22"/>
          <w:szCs w:val="22"/>
        </w:rPr>
        <w:t>.</w:t>
      </w:r>
      <w:r w:rsidR="00A30D82" w:rsidRPr="00FC62A0">
        <w:rPr>
          <w:b/>
          <w:sz w:val="22"/>
          <w:szCs w:val="22"/>
        </w:rPr>
        <w:t xml:space="preserve"> </w:t>
      </w:r>
    </w:p>
    <w:p w14:paraId="64F0EE9F" w14:textId="77777777" w:rsidR="007230E5" w:rsidRDefault="007230E5" w:rsidP="00CC61C1">
      <w:pPr>
        <w:rPr>
          <w:sz w:val="22"/>
          <w:szCs w:val="22"/>
        </w:rPr>
      </w:pPr>
    </w:p>
    <w:p w14:paraId="641B6B21" w14:textId="2FD63EB3" w:rsidR="00E173DD" w:rsidRPr="00881448" w:rsidRDefault="00E173DD" w:rsidP="00CC61C1">
      <w:pPr>
        <w:suppressAutoHyphens/>
        <w:autoSpaceDE w:val="0"/>
        <w:autoSpaceDN w:val="0"/>
        <w:adjustRightInd w:val="0"/>
        <w:rPr>
          <w:b/>
          <w:sz w:val="22"/>
          <w:szCs w:val="22"/>
        </w:rPr>
      </w:pPr>
    </w:p>
    <w:tbl>
      <w:tblPr>
        <w:tblStyle w:val="TableGrid"/>
        <w:tblpPr w:leftFromText="180" w:rightFromText="180" w:vertAnchor="text" w:tblpXSpec="center" w:tblpY="1"/>
        <w:tblOverlap w:val="never"/>
        <w:tblW w:w="14575" w:type="dxa"/>
        <w:tblLook w:val="04A0" w:firstRow="1" w:lastRow="0" w:firstColumn="1" w:lastColumn="0" w:noHBand="0" w:noVBand="1"/>
      </w:tblPr>
      <w:tblGrid>
        <w:gridCol w:w="1885"/>
        <w:gridCol w:w="7020"/>
        <w:gridCol w:w="2970"/>
        <w:gridCol w:w="2700"/>
      </w:tblGrid>
      <w:tr w:rsidR="00E6538C" w:rsidRPr="008F1873" w14:paraId="435DA33A" w14:textId="1B288AA1" w:rsidTr="00975A0B">
        <w:trPr>
          <w:trHeight w:val="278"/>
          <w:tblHeader/>
        </w:trPr>
        <w:tc>
          <w:tcPr>
            <w:tcW w:w="1885" w:type="dxa"/>
            <w:shd w:val="clear" w:color="auto" w:fill="D9D9D9" w:themeFill="background1" w:themeFillShade="D9"/>
            <w:vAlign w:val="center"/>
          </w:tcPr>
          <w:p w14:paraId="6C7B4937" w14:textId="65B2033C" w:rsidR="003A3F5B" w:rsidRPr="008F1873" w:rsidRDefault="003A3F5B" w:rsidP="00CC61C1">
            <w:pPr>
              <w:suppressAutoHyphens/>
              <w:autoSpaceDE w:val="0"/>
              <w:autoSpaceDN w:val="0"/>
              <w:adjustRightInd w:val="0"/>
              <w:jc w:val="center"/>
              <w:rPr>
                <w:rFonts w:asciiTheme="majorHAnsi" w:hAnsiTheme="majorHAnsi" w:cstheme="majorHAnsi"/>
                <w:b/>
                <w:sz w:val="22"/>
                <w:szCs w:val="22"/>
              </w:rPr>
            </w:pPr>
            <w:r w:rsidRPr="008F1873">
              <w:rPr>
                <w:rFonts w:asciiTheme="majorHAnsi" w:hAnsiTheme="majorHAnsi" w:cstheme="majorHAnsi"/>
                <w:b/>
                <w:sz w:val="22"/>
                <w:szCs w:val="22"/>
              </w:rPr>
              <w:lastRenderedPageBreak/>
              <w:t>Issue</w:t>
            </w:r>
          </w:p>
        </w:tc>
        <w:tc>
          <w:tcPr>
            <w:tcW w:w="7020" w:type="dxa"/>
            <w:shd w:val="clear" w:color="auto" w:fill="D9D9D9" w:themeFill="background1" w:themeFillShade="D9"/>
            <w:vAlign w:val="center"/>
          </w:tcPr>
          <w:p w14:paraId="50B4A80F" w14:textId="5BF609D7" w:rsidR="003A3F5B" w:rsidRPr="008F1873" w:rsidRDefault="003A3F5B" w:rsidP="00CC61C1">
            <w:pPr>
              <w:suppressAutoHyphens/>
              <w:autoSpaceDE w:val="0"/>
              <w:autoSpaceDN w:val="0"/>
              <w:adjustRightInd w:val="0"/>
              <w:jc w:val="center"/>
              <w:rPr>
                <w:rFonts w:asciiTheme="majorHAnsi" w:hAnsiTheme="majorHAnsi" w:cstheme="majorHAnsi"/>
                <w:b/>
                <w:sz w:val="22"/>
                <w:szCs w:val="22"/>
              </w:rPr>
            </w:pPr>
            <w:r w:rsidRPr="008F1873">
              <w:rPr>
                <w:rFonts w:asciiTheme="majorHAnsi" w:hAnsiTheme="majorHAnsi" w:cstheme="majorHAnsi"/>
                <w:b/>
                <w:sz w:val="22"/>
                <w:szCs w:val="22"/>
              </w:rPr>
              <w:t>Key Provision</w:t>
            </w:r>
            <w:r w:rsidR="00324196">
              <w:rPr>
                <w:rFonts w:asciiTheme="majorHAnsi" w:hAnsiTheme="majorHAnsi" w:cstheme="majorHAnsi"/>
                <w:b/>
                <w:sz w:val="22"/>
                <w:szCs w:val="22"/>
              </w:rPr>
              <w:t>s</w:t>
            </w:r>
            <w:r w:rsidRPr="008F1873">
              <w:rPr>
                <w:rFonts w:asciiTheme="majorHAnsi" w:hAnsiTheme="majorHAnsi" w:cstheme="majorHAnsi"/>
                <w:b/>
                <w:sz w:val="22"/>
                <w:szCs w:val="22"/>
              </w:rPr>
              <w:t xml:space="preserve"> </w:t>
            </w:r>
          </w:p>
        </w:tc>
        <w:tc>
          <w:tcPr>
            <w:tcW w:w="2970" w:type="dxa"/>
            <w:shd w:val="clear" w:color="auto" w:fill="D9D9D9" w:themeFill="background1" w:themeFillShade="D9"/>
            <w:vAlign w:val="center"/>
          </w:tcPr>
          <w:p w14:paraId="7AFCC2AB" w14:textId="77777777" w:rsidR="00D6153D" w:rsidRDefault="003A3F5B" w:rsidP="00CC61C1">
            <w:pPr>
              <w:suppressAutoHyphens/>
              <w:autoSpaceDE w:val="0"/>
              <w:autoSpaceDN w:val="0"/>
              <w:adjustRightInd w:val="0"/>
              <w:jc w:val="center"/>
              <w:rPr>
                <w:rFonts w:asciiTheme="majorHAnsi" w:hAnsiTheme="majorHAnsi" w:cstheme="majorHAnsi"/>
                <w:b/>
                <w:sz w:val="22"/>
                <w:szCs w:val="22"/>
              </w:rPr>
            </w:pPr>
            <w:r w:rsidRPr="008F1873">
              <w:rPr>
                <w:rFonts w:asciiTheme="majorHAnsi" w:hAnsiTheme="majorHAnsi" w:cstheme="majorHAnsi"/>
                <w:b/>
                <w:sz w:val="22"/>
                <w:szCs w:val="22"/>
              </w:rPr>
              <w:t xml:space="preserve">Departments’ Requests </w:t>
            </w:r>
          </w:p>
          <w:p w14:paraId="3DA022A3" w14:textId="1BBB496E" w:rsidR="003A3F5B" w:rsidRPr="008F1873" w:rsidRDefault="003A3F5B" w:rsidP="00CC61C1">
            <w:pPr>
              <w:suppressAutoHyphens/>
              <w:autoSpaceDE w:val="0"/>
              <w:autoSpaceDN w:val="0"/>
              <w:adjustRightInd w:val="0"/>
              <w:jc w:val="center"/>
              <w:rPr>
                <w:rFonts w:asciiTheme="majorHAnsi" w:hAnsiTheme="majorHAnsi" w:cstheme="majorHAnsi"/>
                <w:b/>
                <w:sz w:val="22"/>
                <w:szCs w:val="22"/>
              </w:rPr>
            </w:pPr>
            <w:r w:rsidRPr="008F1873">
              <w:rPr>
                <w:rFonts w:asciiTheme="majorHAnsi" w:hAnsiTheme="majorHAnsi" w:cstheme="majorHAnsi"/>
                <w:b/>
                <w:sz w:val="22"/>
                <w:szCs w:val="22"/>
              </w:rPr>
              <w:t>for Comment</w:t>
            </w:r>
          </w:p>
        </w:tc>
        <w:tc>
          <w:tcPr>
            <w:tcW w:w="2700" w:type="dxa"/>
            <w:shd w:val="clear" w:color="auto" w:fill="D9D9D9" w:themeFill="background1" w:themeFillShade="D9"/>
          </w:tcPr>
          <w:p w14:paraId="0417AFAE" w14:textId="140203BA" w:rsidR="00D6153D" w:rsidRDefault="003A3F5B" w:rsidP="00CC61C1">
            <w:pPr>
              <w:suppressAutoHyphens/>
              <w:autoSpaceDE w:val="0"/>
              <w:autoSpaceDN w:val="0"/>
              <w:adjustRightInd w:val="0"/>
              <w:jc w:val="center"/>
              <w:rPr>
                <w:rFonts w:asciiTheme="majorHAnsi" w:hAnsiTheme="majorHAnsi" w:cstheme="majorHAnsi"/>
                <w:b/>
                <w:sz w:val="22"/>
                <w:szCs w:val="22"/>
              </w:rPr>
            </w:pPr>
            <w:r w:rsidRPr="008F1873">
              <w:rPr>
                <w:rFonts w:asciiTheme="majorHAnsi" w:hAnsiTheme="majorHAnsi" w:cstheme="majorHAnsi"/>
                <w:b/>
                <w:sz w:val="22"/>
                <w:szCs w:val="22"/>
              </w:rPr>
              <w:t xml:space="preserve">Children’s </w:t>
            </w:r>
            <w:r w:rsidR="00D6153D" w:rsidRPr="008F1873">
              <w:rPr>
                <w:rFonts w:asciiTheme="majorHAnsi" w:hAnsiTheme="majorHAnsi" w:cstheme="majorHAnsi"/>
                <w:b/>
                <w:sz w:val="22"/>
                <w:szCs w:val="22"/>
              </w:rPr>
              <w:t>Hospital</w:t>
            </w:r>
          </w:p>
          <w:p w14:paraId="7D5B0A0B" w14:textId="5F5CBEFC" w:rsidR="003A3F5B" w:rsidRPr="008F1873" w:rsidRDefault="003A3F5B" w:rsidP="00CC61C1">
            <w:pPr>
              <w:suppressAutoHyphens/>
              <w:autoSpaceDE w:val="0"/>
              <w:autoSpaceDN w:val="0"/>
              <w:adjustRightInd w:val="0"/>
              <w:jc w:val="center"/>
              <w:rPr>
                <w:rFonts w:asciiTheme="majorHAnsi" w:hAnsiTheme="majorHAnsi" w:cstheme="majorHAnsi"/>
                <w:b/>
                <w:sz w:val="22"/>
                <w:szCs w:val="22"/>
              </w:rPr>
            </w:pPr>
            <w:r w:rsidRPr="008F1873">
              <w:rPr>
                <w:rFonts w:asciiTheme="majorHAnsi" w:hAnsiTheme="majorHAnsi" w:cstheme="majorHAnsi"/>
                <w:b/>
                <w:sz w:val="22"/>
                <w:szCs w:val="22"/>
              </w:rPr>
              <w:t>Feedback</w:t>
            </w:r>
          </w:p>
        </w:tc>
      </w:tr>
      <w:tr w:rsidR="000D56C7" w:rsidRPr="00BA1FB9" w14:paraId="7179CC60" w14:textId="77777777" w:rsidTr="00975A0B">
        <w:tc>
          <w:tcPr>
            <w:tcW w:w="1885" w:type="dxa"/>
          </w:tcPr>
          <w:p w14:paraId="36765468" w14:textId="0931955A" w:rsidR="000D56C7" w:rsidRDefault="000D56C7" w:rsidP="00CC61C1">
            <w:pPr>
              <w:suppressAutoHyphens/>
              <w:autoSpaceDE w:val="0"/>
              <w:autoSpaceDN w:val="0"/>
              <w:adjustRightInd w:val="0"/>
              <w:jc w:val="center"/>
              <w:rPr>
                <w:b/>
                <w:bCs/>
                <w:sz w:val="22"/>
                <w:szCs w:val="22"/>
              </w:rPr>
            </w:pPr>
            <w:r>
              <w:rPr>
                <w:b/>
                <w:bCs/>
                <w:sz w:val="22"/>
                <w:szCs w:val="22"/>
              </w:rPr>
              <w:t>Open Negotiation Period</w:t>
            </w:r>
            <w:r w:rsidR="008D0499">
              <w:rPr>
                <w:b/>
                <w:bCs/>
                <w:sz w:val="22"/>
                <w:szCs w:val="22"/>
              </w:rPr>
              <w:t xml:space="preserve"> to Resolve Payer/Provider Payment Disputes</w:t>
            </w:r>
          </w:p>
        </w:tc>
        <w:tc>
          <w:tcPr>
            <w:tcW w:w="7020" w:type="dxa"/>
          </w:tcPr>
          <w:p w14:paraId="570B7204" w14:textId="096B6215" w:rsidR="00A60DE6" w:rsidRDefault="00BC305A" w:rsidP="00067C7F">
            <w:pPr>
              <w:pStyle w:val="ListParagraph"/>
              <w:spacing w:after="0" w:line="240" w:lineRule="auto"/>
              <w:ind w:left="0"/>
              <w:rPr>
                <w:rFonts w:ascii="Garamond" w:hAnsi="Garamond"/>
              </w:rPr>
            </w:pPr>
            <w:r>
              <w:rPr>
                <w:rFonts w:ascii="Garamond" w:hAnsi="Garamond"/>
              </w:rPr>
              <w:t>In a surprise billing situation, a</w:t>
            </w:r>
            <w:r w:rsidR="000D56C7">
              <w:rPr>
                <w:rFonts w:ascii="Garamond" w:hAnsi="Garamond"/>
              </w:rPr>
              <w:t xml:space="preserve"> payer or provider/facility may initiate </w:t>
            </w:r>
            <w:r>
              <w:rPr>
                <w:rFonts w:ascii="Garamond" w:hAnsi="Garamond"/>
              </w:rPr>
              <w:t xml:space="preserve">a </w:t>
            </w:r>
            <w:r w:rsidR="00067C7F">
              <w:rPr>
                <w:rFonts w:ascii="Garamond" w:hAnsi="Garamond"/>
              </w:rPr>
              <w:t>30-day</w:t>
            </w:r>
            <w:r w:rsidR="000D56C7">
              <w:rPr>
                <w:rFonts w:ascii="Garamond" w:hAnsi="Garamond"/>
              </w:rPr>
              <w:t xml:space="preserve"> negotiation period </w:t>
            </w:r>
            <w:r>
              <w:rPr>
                <w:rFonts w:ascii="Garamond" w:hAnsi="Garamond"/>
              </w:rPr>
              <w:t xml:space="preserve">by providing a written notice to the other party within 30 business days of initial payment or denial. </w:t>
            </w:r>
            <w:r w:rsidR="00067C7F">
              <w:rPr>
                <w:rFonts w:ascii="Garamond" w:hAnsi="Garamond"/>
              </w:rPr>
              <w:t xml:space="preserve"> Parties must use a </w:t>
            </w:r>
            <w:hyperlink r:id="rId14" w:history="1">
              <w:r w:rsidR="00067C7F" w:rsidRPr="00067C7F">
                <w:rPr>
                  <w:rStyle w:val="Hyperlink"/>
                  <w:rFonts w:ascii="Garamond" w:hAnsi="Garamond"/>
                </w:rPr>
                <w:t>stan</w:t>
              </w:r>
              <w:r w:rsidR="00067C7F" w:rsidRPr="00067C7F">
                <w:rPr>
                  <w:rStyle w:val="Hyperlink"/>
                  <w:rFonts w:ascii="Garamond" w:hAnsi="Garamond"/>
                </w:rPr>
                <w:t>d</w:t>
              </w:r>
              <w:r w:rsidR="00067C7F" w:rsidRPr="00067C7F">
                <w:rPr>
                  <w:rStyle w:val="Hyperlink"/>
                  <w:rFonts w:ascii="Garamond" w:hAnsi="Garamond"/>
                </w:rPr>
                <w:t>ard notice</w:t>
              </w:r>
            </w:hyperlink>
            <w:r w:rsidR="00067C7F" w:rsidRPr="00067C7F">
              <w:rPr>
                <w:rFonts w:ascii="Garamond" w:hAnsi="Garamond"/>
              </w:rPr>
              <w:t>,</w:t>
            </w:r>
            <w:r w:rsidR="00067C7F">
              <w:rPr>
                <w:rFonts w:ascii="Garamond" w:hAnsi="Garamond"/>
              </w:rPr>
              <w:t xml:space="preserve"> which must be sent e</w:t>
            </w:r>
            <w:r>
              <w:rPr>
                <w:rFonts w:ascii="Garamond" w:hAnsi="Garamond"/>
              </w:rPr>
              <w:t>lectronically</w:t>
            </w:r>
            <w:r w:rsidR="00067C7F">
              <w:rPr>
                <w:rFonts w:ascii="Garamond" w:hAnsi="Garamond"/>
              </w:rPr>
              <w:t xml:space="preserve"> </w:t>
            </w:r>
            <w:r>
              <w:rPr>
                <w:rFonts w:ascii="Garamond" w:hAnsi="Garamond"/>
              </w:rPr>
              <w:t xml:space="preserve">and </w:t>
            </w:r>
            <w:r w:rsidR="00067C7F">
              <w:rPr>
                <w:rFonts w:ascii="Garamond" w:hAnsi="Garamond"/>
              </w:rPr>
              <w:t xml:space="preserve">include </w:t>
            </w:r>
            <w:r w:rsidR="00A60DE6">
              <w:rPr>
                <w:rFonts w:ascii="Garamond" w:hAnsi="Garamond"/>
              </w:rPr>
              <w:t>the item or service</w:t>
            </w:r>
            <w:r w:rsidR="00067C7F">
              <w:rPr>
                <w:rFonts w:ascii="Garamond" w:hAnsi="Garamond"/>
              </w:rPr>
              <w:t>; the</w:t>
            </w:r>
            <w:r w:rsidR="00A60DE6">
              <w:rPr>
                <w:rFonts w:ascii="Garamond" w:hAnsi="Garamond"/>
              </w:rPr>
              <w:t xml:space="preserve"> date it was furnished</w:t>
            </w:r>
            <w:r w:rsidR="00067C7F">
              <w:rPr>
                <w:rFonts w:ascii="Garamond" w:hAnsi="Garamond"/>
              </w:rPr>
              <w:t xml:space="preserve">; the </w:t>
            </w:r>
            <w:r w:rsidR="00A60DE6">
              <w:rPr>
                <w:rFonts w:ascii="Garamond" w:hAnsi="Garamond"/>
              </w:rPr>
              <w:t>service code</w:t>
            </w:r>
            <w:r w:rsidR="00067C7F">
              <w:rPr>
                <w:rFonts w:ascii="Garamond" w:hAnsi="Garamond"/>
              </w:rPr>
              <w:t>; the i</w:t>
            </w:r>
            <w:r w:rsidR="00A60DE6">
              <w:rPr>
                <w:rFonts w:ascii="Garamond" w:hAnsi="Garamond"/>
              </w:rPr>
              <w:t>nitial payment amount or notice of denial of payment</w:t>
            </w:r>
            <w:r w:rsidR="00067C7F">
              <w:rPr>
                <w:rFonts w:ascii="Garamond" w:hAnsi="Garamond"/>
              </w:rPr>
              <w:t xml:space="preserve">; and </w:t>
            </w:r>
            <w:r w:rsidR="00A60DE6">
              <w:rPr>
                <w:rFonts w:ascii="Garamond" w:hAnsi="Garamond"/>
              </w:rPr>
              <w:t>contact information</w:t>
            </w:r>
            <w:r w:rsidR="00067C7F">
              <w:rPr>
                <w:rFonts w:ascii="Garamond" w:hAnsi="Garamond"/>
              </w:rPr>
              <w:t>.</w:t>
            </w:r>
            <w:r w:rsidR="00A60DE6">
              <w:rPr>
                <w:rFonts w:ascii="Garamond" w:hAnsi="Garamond"/>
              </w:rPr>
              <w:t xml:space="preserve"> </w:t>
            </w:r>
          </w:p>
          <w:p w14:paraId="256FCBD4" w14:textId="4CEB3B63" w:rsidR="00A60DE6" w:rsidRDefault="00A60DE6" w:rsidP="00CC61C1">
            <w:pPr>
              <w:pStyle w:val="ListParagraph"/>
              <w:spacing w:after="0" w:line="240" w:lineRule="auto"/>
              <w:ind w:left="0"/>
              <w:rPr>
                <w:rFonts w:ascii="Garamond" w:hAnsi="Garamond"/>
              </w:rPr>
            </w:pPr>
          </w:p>
          <w:p w14:paraId="7490D87E" w14:textId="7CF52334" w:rsidR="00A60DE6" w:rsidRDefault="00A60DE6" w:rsidP="00CC61C1">
            <w:pPr>
              <w:pStyle w:val="ListParagraph"/>
              <w:spacing w:after="0" w:line="240" w:lineRule="auto"/>
              <w:ind w:left="0"/>
              <w:rPr>
                <w:rFonts w:ascii="Garamond" w:hAnsi="Garamond"/>
              </w:rPr>
            </w:pPr>
            <w:r>
              <w:rPr>
                <w:rFonts w:ascii="Garamond" w:hAnsi="Garamond"/>
              </w:rPr>
              <w:t xml:space="preserve">The 30-business-day open negotiation period begins the day the notice is sent. </w:t>
            </w:r>
          </w:p>
        </w:tc>
        <w:tc>
          <w:tcPr>
            <w:tcW w:w="2970" w:type="dxa"/>
          </w:tcPr>
          <w:p w14:paraId="73CE5B3F" w14:textId="6DE84C13" w:rsidR="000D56C7" w:rsidRPr="00BA1FB9" w:rsidRDefault="00A60DE6" w:rsidP="00CC61C1">
            <w:pPr>
              <w:suppressAutoHyphens/>
              <w:autoSpaceDE w:val="0"/>
              <w:autoSpaceDN w:val="0"/>
              <w:adjustRightInd w:val="0"/>
              <w:rPr>
                <w:sz w:val="22"/>
                <w:szCs w:val="22"/>
              </w:rPr>
            </w:pPr>
            <w:r>
              <w:rPr>
                <w:sz w:val="22"/>
                <w:szCs w:val="22"/>
              </w:rPr>
              <w:t>The departments seek comment on any challenges with designating the beginning of the open negotiation period as the date th</w:t>
            </w:r>
            <w:r w:rsidR="00BC305A">
              <w:rPr>
                <w:sz w:val="22"/>
                <w:szCs w:val="22"/>
              </w:rPr>
              <w:t>e</w:t>
            </w:r>
            <w:r>
              <w:rPr>
                <w:sz w:val="22"/>
                <w:szCs w:val="22"/>
              </w:rPr>
              <w:t xml:space="preserve"> notice is sent. </w:t>
            </w:r>
          </w:p>
        </w:tc>
        <w:tc>
          <w:tcPr>
            <w:tcW w:w="2700" w:type="dxa"/>
          </w:tcPr>
          <w:p w14:paraId="4E8F7B4B" w14:textId="77777777" w:rsidR="000D56C7" w:rsidRPr="00BA1FB9" w:rsidRDefault="000D56C7" w:rsidP="00CC61C1">
            <w:pPr>
              <w:suppressAutoHyphens/>
              <w:autoSpaceDE w:val="0"/>
              <w:autoSpaceDN w:val="0"/>
              <w:adjustRightInd w:val="0"/>
              <w:rPr>
                <w:sz w:val="22"/>
                <w:szCs w:val="22"/>
              </w:rPr>
            </w:pPr>
          </w:p>
        </w:tc>
      </w:tr>
      <w:tr w:rsidR="000B706D" w:rsidRPr="00BA1FB9" w14:paraId="048F9293" w14:textId="1B9BB782" w:rsidTr="00975A0B">
        <w:tc>
          <w:tcPr>
            <w:tcW w:w="1885" w:type="dxa"/>
          </w:tcPr>
          <w:p w14:paraId="3B5E2E49" w14:textId="0978BE8A" w:rsidR="003A3F5B" w:rsidRDefault="001D50B9" w:rsidP="00CC61C1">
            <w:pPr>
              <w:suppressAutoHyphens/>
              <w:autoSpaceDE w:val="0"/>
              <w:autoSpaceDN w:val="0"/>
              <w:adjustRightInd w:val="0"/>
              <w:jc w:val="center"/>
              <w:rPr>
                <w:sz w:val="22"/>
                <w:szCs w:val="22"/>
              </w:rPr>
            </w:pPr>
            <w:r>
              <w:rPr>
                <w:b/>
                <w:bCs/>
                <w:sz w:val="22"/>
                <w:szCs w:val="22"/>
              </w:rPr>
              <w:t>Independent Dispute Resolution (IDR) Process</w:t>
            </w:r>
            <w:r w:rsidR="003A3F5B" w:rsidRPr="00BA1FB9">
              <w:rPr>
                <w:sz w:val="22"/>
                <w:szCs w:val="22"/>
              </w:rPr>
              <w:t xml:space="preserve"> </w:t>
            </w:r>
          </w:p>
          <w:p w14:paraId="78325745" w14:textId="3E4AF98A" w:rsidR="00C504E4" w:rsidRDefault="00C504E4" w:rsidP="00CC61C1">
            <w:pPr>
              <w:suppressAutoHyphens/>
              <w:autoSpaceDE w:val="0"/>
              <w:autoSpaceDN w:val="0"/>
              <w:adjustRightInd w:val="0"/>
              <w:jc w:val="center"/>
              <w:rPr>
                <w:sz w:val="22"/>
                <w:szCs w:val="22"/>
              </w:rPr>
            </w:pPr>
          </w:p>
          <w:p w14:paraId="5D53E631" w14:textId="6D880384" w:rsidR="00C504E4" w:rsidRPr="00C504E4" w:rsidRDefault="00C504E4" w:rsidP="00CC61C1">
            <w:pPr>
              <w:suppressAutoHyphens/>
              <w:autoSpaceDE w:val="0"/>
              <w:autoSpaceDN w:val="0"/>
              <w:adjustRightInd w:val="0"/>
              <w:jc w:val="center"/>
              <w:rPr>
                <w:b/>
                <w:bCs/>
                <w:sz w:val="22"/>
                <w:szCs w:val="22"/>
              </w:rPr>
            </w:pPr>
            <w:r w:rsidRPr="00C504E4">
              <w:rPr>
                <w:b/>
                <w:bCs/>
                <w:sz w:val="22"/>
                <w:szCs w:val="22"/>
              </w:rPr>
              <w:t>Initiation of IDR Process</w:t>
            </w:r>
          </w:p>
          <w:p w14:paraId="6F3ED6A3" w14:textId="77777777" w:rsidR="001D50B9" w:rsidRDefault="001D50B9" w:rsidP="00CC61C1">
            <w:pPr>
              <w:suppressAutoHyphens/>
              <w:autoSpaceDE w:val="0"/>
              <w:autoSpaceDN w:val="0"/>
              <w:adjustRightInd w:val="0"/>
              <w:jc w:val="center"/>
              <w:rPr>
                <w:sz w:val="22"/>
                <w:szCs w:val="22"/>
              </w:rPr>
            </w:pPr>
          </w:p>
          <w:p w14:paraId="28C00C61" w14:textId="57E9B181" w:rsidR="001D50B9" w:rsidRPr="001D50B9" w:rsidRDefault="001D50B9" w:rsidP="00CC61C1">
            <w:pPr>
              <w:suppressAutoHyphens/>
              <w:autoSpaceDE w:val="0"/>
              <w:autoSpaceDN w:val="0"/>
              <w:adjustRightInd w:val="0"/>
              <w:jc w:val="center"/>
              <w:rPr>
                <w:b/>
                <w:bCs/>
                <w:sz w:val="22"/>
                <w:szCs w:val="22"/>
              </w:rPr>
            </w:pPr>
          </w:p>
          <w:p w14:paraId="7A4BC401" w14:textId="1754BC14" w:rsidR="001D50B9" w:rsidRPr="00BA1FB9" w:rsidRDefault="001D50B9" w:rsidP="00CC61C1">
            <w:pPr>
              <w:suppressAutoHyphens/>
              <w:autoSpaceDE w:val="0"/>
              <w:autoSpaceDN w:val="0"/>
              <w:adjustRightInd w:val="0"/>
              <w:jc w:val="center"/>
              <w:rPr>
                <w:sz w:val="22"/>
                <w:szCs w:val="22"/>
              </w:rPr>
            </w:pPr>
          </w:p>
        </w:tc>
        <w:tc>
          <w:tcPr>
            <w:tcW w:w="7020" w:type="dxa"/>
          </w:tcPr>
          <w:p w14:paraId="1E0088E6" w14:textId="4E4C4EEC" w:rsidR="00963373" w:rsidRPr="00D7695A" w:rsidRDefault="00BC305A" w:rsidP="00CC61C1">
            <w:pPr>
              <w:pStyle w:val="ListParagraph"/>
              <w:spacing w:after="0" w:line="240" w:lineRule="auto"/>
              <w:ind w:left="0"/>
              <w:rPr>
                <w:rFonts w:ascii="Garamond" w:hAnsi="Garamond"/>
              </w:rPr>
            </w:pPr>
            <w:r>
              <w:rPr>
                <w:rFonts w:ascii="Garamond" w:hAnsi="Garamond"/>
              </w:rPr>
              <w:t>In the event a payment amount is not agreed to during the open negotiation period, e</w:t>
            </w:r>
            <w:r w:rsidR="00963373" w:rsidRPr="00D7695A">
              <w:rPr>
                <w:rFonts w:ascii="Garamond" w:hAnsi="Garamond"/>
              </w:rPr>
              <w:t xml:space="preserve">ither party may initiate </w:t>
            </w:r>
            <w:r w:rsidR="000D56C7" w:rsidRPr="00D7695A">
              <w:rPr>
                <w:rFonts w:ascii="Garamond" w:hAnsi="Garamond"/>
              </w:rPr>
              <w:t xml:space="preserve">IDR </w:t>
            </w:r>
            <w:r w:rsidR="00963373" w:rsidRPr="00D7695A">
              <w:rPr>
                <w:rFonts w:ascii="Garamond" w:hAnsi="Garamond"/>
              </w:rPr>
              <w:t xml:space="preserve">during the 4-business-day period that </w:t>
            </w:r>
            <w:r>
              <w:rPr>
                <w:rFonts w:ascii="Garamond" w:hAnsi="Garamond"/>
              </w:rPr>
              <w:t>immediately follows the end of the neg</w:t>
            </w:r>
            <w:r w:rsidR="00963373" w:rsidRPr="00D7695A">
              <w:rPr>
                <w:rFonts w:ascii="Garamond" w:hAnsi="Garamond"/>
              </w:rPr>
              <w:t xml:space="preserve">otiation period. </w:t>
            </w:r>
          </w:p>
          <w:p w14:paraId="6A0301EF" w14:textId="77777777" w:rsidR="00963373" w:rsidRPr="00D7695A" w:rsidRDefault="00963373" w:rsidP="00CC61C1">
            <w:pPr>
              <w:pStyle w:val="ListParagraph"/>
              <w:spacing w:after="0" w:line="240" w:lineRule="auto"/>
              <w:ind w:left="0"/>
              <w:rPr>
                <w:rFonts w:ascii="Garamond" w:hAnsi="Garamond"/>
              </w:rPr>
            </w:pPr>
          </w:p>
          <w:p w14:paraId="6DC77D46" w14:textId="38FAD236" w:rsidR="00963373" w:rsidRPr="00D7695A" w:rsidRDefault="00963373" w:rsidP="00CC61C1">
            <w:pPr>
              <w:pStyle w:val="ListParagraph"/>
              <w:spacing w:after="0" w:line="240" w:lineRule="auto"/>
              <w:ind w:left="0"/>
              <w:rPr>
                <w:rFonts w:ascii="Garamond" w:hAnsi="Garamond"/>
              </w:rPr>
            </w:pPr>
            <w:r w:rsidRPr="00D7695A">
              <w:rPr>
                <w:rFonts w:ascii="Garamond" w:hAnsi="Garamond"/>
              </w:rPr>
              <w:t xml:space="preserve">The party initiating </w:t>
            </w:r>
            <w:r w:rsidR="006F1A4B">
              <w:rPr>
                <w:rFonts w:ascii="Garamond" w:hAnsi="Garamond"/>
              </w:rPr>
              <w:t xml:space="preserve">the </w:t>
            </w:r>
            <w:r w:rsidRPr="00D7695A">
              <w:rPr>
                <w:rFonts w:ascii="Garamond" w:hAnsi="Garamond"/>
              </w:rPr>
              <w:t>IDR must submit a notice (the “</w:t>
            </w:r>
            <w:hyperlink r:id="rId15" w:history="1">
              <w:r w:rsidRPr="006D6D88">
                <w:rPr>
                  <w:rStyle w:val="Hyperlink"/>
                  <w:rFonts w:ascii="Garamond" w:hAnsi="Garamond"/>
                </w:rPr>
                <w:t>Notice of IDR Initiation</w:t>
              </w:r>
            </w:hyperlink>
            <w:r w:rsidRPr="00D7695A">
              <w:rPr>
                <w:rFonts w:ascii="Garamond" w:hAnsi="Garamond"/>
              </w:rPr>
              <w:t>”) to the other party</w:t>
            </w:r>
            <w:r w:rsidR="00BC305A">
              <w:rPr>
                <w:rFonts w:ascii="Garamond" w:hAnsi="Garamond"/>
              </w:rPr>
              <w:t xml:space="preserve"> and </w:t>
            </w:r>
            <w:r w:rsidRPr="00D7695A">
              <w:rPr>
                <w:rFonts w:ascii="Garamond" w:hAnsi="Garamond"/>
              </w:rPr>
              <w:t xml:space="preserve">the departments through </w:t>
            </w:r>
            <w:r w:rsidR="006D6D88">
              <w:rPr>
                <w:rFonts w:ascii="Garamond" w:hAnsi="Garamond"/>
              </w:rPr>
              <w:t>a</w:t>
            </w:r>
            <w:r w:rsidRPr="00D7695A">
              <w:rPr>
                <w:rFonts w:ascii="Garamond" w:hAnsi="Garamond"/>
              </w:rPr>
              <w:t xml:space="preserve"> </w:t>
            </w:r>
            <w:r w:rsidRPr="006D6D88">
              <w:rPr>
                <w:rFonts w:ascii="Garamond" w:hAnsi="Garamond"/>
              </w:rPr>
              <w:t>federal IDR portal</w:t>
            </w:r>
            <w:r w:rsidRPr="00D7695A">
              <w:rPr>
                <w:rFonts w:ascii="Garamond" w:hAnsi="Garamond"/>
              </w:rPr>
              <w:t xml:space="preserve">. The </w:t>
            </w:r>
            <w:r w:rsidR="006F1A4B">
              <w:rPr>
                <w:rFonts w:ascii="Garamond" w:hAnsi="Garamond"/>
              </w:rPr>
              <w:t>n</w:t>
            </w:r>
            <w:r w:rsidRPr="00D7695A">
              <w:rPr>
                <w:rFonts w:ascii="Garamond" w:hAnsi="Garamond"/>
              </w:rPr>
              <w:t>otice must include</w:t>
            </w:r>
            <w:r w:rsidR="00FA7F18">
              <w:rPr>
                <w:rFonts w:ascii="Garamond" w:hAnsi="Garamond"/>
              </w:rPr>
              <w:t>, among other things</w:t>
            </w:r>
            <w:r w:rsidRPr="00D7695A">
              <w:rPr>
                <w:rFonts w:ascii="Garamond" w:hAnsi="Garamond"/>
              </w:rPr>
              <w:t xml:space="preserve">: </w:t>
            </w:r>
          </w:p>
          <w:p w14:paraId="1991FAC4" w14:textId="5A54C865" w:rsidR="008F16F0" w:rsidRPr="00D7695A" w:rsidRDefault="00963373" w:rsidP="00A0124D">
            <w:pPr>
              <w:pStyle w:val="ListParagraph"/>
              <w:numPr>
                <w:ilvl w:val="0"/>
                <w:numId w:val="3"/>
              </w:numPr>
              <w:spacing w:after="0" w:line="240" w:lineRule="auto"/>
              <w:ind w:left="256" w:hanging="256"/>
              <w:rPr>
                <w:rFonts w:ascii="Garamond" w:hAnsi="Garamond" w:cs="Arial"/>
              </w:rPr>
            </w:pPr>
            <w:r w:rsidRPr="00D7695A">
              <w:rPr>
                <w:rFonts w:ascii="Garamond" w:hAnsi="Garamond" w:cs="Arial"/>
              </w:rPr>
              <w:t>dates and location of the items or services</w:t>
            </w:r>
            <w:r w:rsidR="006F1A4B">
              <w:rPr>
                <w:rFonts w:ascii="Garamond" w:hAnsi="Garamond" w:cs="Arial"/>
              </w:rPr>
              <w:t>;</w:t>
            </w:r>
            <w:r w:rsidRPr="00D7695A">
              <w:rPr>
                <w:rFonts w:ascii="Garamond" w:hAnsi="Garamond" w:cs="Arial"/>
              </w:rPr>
              <w:t xml:space="preserve"> corresponding service and place-of-service codes</w:t>
            </w:r>
            <w:r w:rsidR="006F1A4B">
              <w:rPr>
                <w:rFonts w:ascii="Garamond" w:hAnsi="Garamond" w:cs="Arial"/>
              </w:rPr>
              <w:t>;</w:t>
            </w:r>
            <w:r w:rsidRPr="00D7695A">
              <w:rPr>
                <w:rFonts w:ascii="Garamond" w:hAnsi="Garamond" w:cs="Arial"/>
              </w:rPr>
              <w:t xml:space="preserve"> the amount of allowed cost-sharing</w:t>
            </w:r>
            <w:r w:rsidR="006F1A4B">
              <w:rPr>
                <w:rFonts w:ascii="Garamond" w:hAnsi="Garamond" w:cs="Arial"/>
              </w:rPr>
              <w:t>;</w:t>
            </w:r>
            <w:r w:rsidRPr="00D7695A">
              <w:rPr>
                <w:rFonts w:ascii="Garamond" w:hAnsi="Garamond" w:cs="Arial"/>
              </w:rPr>
              <w:t xml:space="preserve"> and the initial payment amount. </w:t>
            </w:r>
          </w:p>
          <w:p w14:paraId="61D9B389" w14:textId="0198C414" w:rsidR="008F16F0" w:rsidRPr="00D7695A" w:rsidRDefault="008F16F0" w:rsidP="00A0124D">
            <w:pPr>
              <w:pStyle w:val="ListParagraph"/>
              <w:numPr>
                <w:ilvl w:val="0"/>
                <w:numId w:val="3"/>
              </w:numPr>
              <w:spacing w:after="0" w:line="240" w:lineRule="auto"/>
              <w:ind w:left="256" w:hanging="256"/>
              <w:rPr>
                <w:rFonts w:ascii="Garamond" w:hAnsi="Garamond" w:cs="Arial"/>
              </w:rPr>
            </w:pPr>
            <w:r w:rsidRPr="00D7695A">
              <w:rPr>
                <w:rFonts w:ascii="Garamond" w:hAnsi="Garamond" w:cs="Arial"/>
              </w:rPr>
              <w:t>the initiating party’s preferred IDR entity</w:t>
            </w:r>
            <w:r w:rsidR="006F1A4B">
              <w:rPr>
                <w:rFonts w:ascii="Garamond" w:hAnsi="Garamond" w:cs="Arial"/>
              </w:rPr>
              <w:t>.</w:t>
            </w:r>
          </w:p>
          <w:p w14:paraId="1B1B4475" w14:textId="38813CE8" w:rsidR="008F16F0" w:rsidRPr="006D6D88" w:rsidRDefault="008F16F0" w:rsidP="006D6D88">
            <w:pPr>
              <w:pStyle w:val="ListParagraph"/>
              <w:numPr>
                <w:ilvl w:val="0"/>
                <w:numId w:val="42"/>
              </w:numPr>
              <w:suppressAutoHyphens/>
              <w:autoSpaceDE w:val="0"/>
              <w:autoSpaceDN w:val="0"/>
              <w:adjustRightInd w:val="0"/>
              <w:spacing w:after="0" w:line="240" w:lineRule="auto"/>
              <w:rPr>
                <w:rFonts w:ascii="Garamond" w:hAnsi="Garamond"/>
              </w:rPr>
            </w:pPr>
            <w:r w:rsidRPr="00D7695A">
              <w:rPr>
                <w:rFonts w:ascii="Garamond" w:hAnsi="Garamond" w:cs="Arial"/>
              </w:rPr>
              <w:t>the qualifying payment amount (QPA)</w:t>
            </w:r>
            <w:r w:rsidR="006D6D88">
              <w:rPr>
                <w:rFonts w:ascii="Garamond" w:hAnsi="Garamond" w:cs="Arial"/>
              </w:rPr>
              <w:t xml:space="preserve">, which is </w:t>
            </w:r>
            <w:r w:rsidR="006D6D88" w:rsidRPr="00BA1FB9">
              <w:rPr>
                <w:rFonts w:ascii="Garamond" w:hAnsi="Garamond"/>
              </w:rPr>
              <w:t xml:space="preserve">the issuer’s median in-network rate for 2019 </w:t>
            </w:r>
            <w:r w:rsidR="006D6D88">
              <w:rPr>
                <w:rFonts w:ascii="Garamond" w:hAnsi="Garamond"/>
              </w:rPr>
              <w:t xml:space="preserve">for </w:t>
            </w:r>
            <w:r w:rsidR="006D6D88" w:rsidRPr="00BA1FB9">
              <w:rPr>
                <w:rFonts w:ascii="Garamond" w:hAnsi="Garamond"/>
              </w:rPr>
              <w:t xml:space="preserve"> the same or similar item or service provided by a provider in the same or similar specialty and in </w:t>
            </w:r>
            <w:r w:rsidR="006D6D88">
              <w:rPr>
                <w:rFonts w:ascii="Garamond" w:hAnsi="Garamond"/>
              </w:rPr>
              <w:t>the</w:t>
            </w:r>
            <w:r w:rsidR="006D6D88" w:rsidRPr="00BA1FB9">
              <w:rPr>
                <w:rFonts w:ascii="Garamond" w:hAnsi="Garamond"/>
              </w:rPr>
              <w:t xml:space="preserve"> geographic region in which the item or service is furnished, increased for inflation.</w:t>
            </w:r>
            <w:r w:rsidR="006D6D88">
              <w:rPr>
                <w:rStyle w:val="FootnoteReference"/>
                <w:rFonts w:ascii="Garamond" w:hAnsi="Garamond"/>
              </w:rPr>
              <w:footnoteReference w:id="1"/>
            </w:r>
          </w:p>
          <w:p w14:paraId="1423BEAB" w14:textId="77777777" w:rsidR="00FA7F18" w:rsidRPr="00D7695A" w:rsidRDefault="00FA7F18" w:rsidP="00FA7F18">
            <w:pPr>
              <w:pStyle w:val="ListParagraph"/>
              <w:spacing w:after="0" w:line="240" w:lineRule="auto"/>
              <w:rPr>
                <w:rFonts w:ascii="Garamond" w:hAnsi="Garamond" w:cs="Arial"/>
              </w:rPr>
            </w:pPr>
          </w:p>
          <w:p w14:paraId="47AB55B2" w14:textId="6DC492E5" w:rsidR="004408CB" w:rsidRPr="00D7695A" w:rsidRDefault="004408CB" w:rsidP="00CC61C1">
            <w:pPr>
              <w:rPr>
                <w:sz w:val="22"/>
                <w:szCs w:val="22"/>
              </w:rPr>
            </w:pPr>
            <w:r w:rsidRPr="00D7695A">
              <w:rPr>
                <w:sz w:val="22"/>
                <w:szCs w:val="22"/>
              </w:rPr>
              <w:t xml:space="preserve">The IDR process is initiated upon the receipt of </w:t>
            </w:r>
            <w:r w:rsidR="006F1A4B">
              <w:rPr>
                <w:sz w:val="22"/>
                <w:szCs w:val="22"/>
              </w:rPr>
              <w:t>the n</w:t>
            </w:r>
            <w:r w:rsidRPr="00D7695A">
              <w:rPr>
                <w:sz w:val="22"/>
                <w:szCs w:val="22"/>
              </w:rPr>
              <w:t xml:space="preserve">otice by the departments. </w:t>
            </w:r>
          </w:p>
        </w:tc>
        <w:tc>
          <w:tcPr>
            <w:tcW w:w="2970" w:type="dxa"/>
          </w:tcPr>
          <w:p w14:paraId="130366E8" w14:textId="77777777" w:rsidR="003A3F5B" w:rsidRPr="00BA1FB9" w:rsidRDefault="003A3F5B" w:rsidP="00CC61C1">
            <w:pPr>
              <w:suppressAutoHyphens/>
              <w:autoSpaceDE w:val="0"/>
              <w:autoSpaceDN w:val="0"/>
              <w:adjustRightInd w:val="0"/>
              <w:rPr>
                <w:sz w:val="22"/>
                <w:szCs w:val="22"/>
              </w:rPr>
            </w:pPr>
          </w:p>
        </w:tc>
        <w:tc>
          <w:tcPr>
            <w:tcW w:w="2700" w:type="dxa"/>
          </w:tcPr>
          <w:p w14:paraId="3FDBC906" w14:textId="77777777" w:rsidR="003A3F5B" w:rsidRPr="00BA1FB9" w:rsidRDefault="003A3F5B" w:rsidP="00CC61C1">
            <w:pPr>
              <w:suppressAutoHyphens/>
              <w:autoSpaceDE w:val="0"/>
              <w:autoSpaceDN w:val="0"/>
              <w:adjustRightInd w:val="0"/>
              <w:rPr>
                <w:sz w:val="22"/>
                <w:szCs w:val="22"/>
              </w:rPr>
            </w:pPr>
          </w:p>
        </w:tc>
      </w:tr>
      <w:tr w:rsidR="008E3955" w:rsidRPr="00BA1FB9" w14:paraId="4F016C2E" w14:textId="640320F2" w:rsidTr="004408CB">
        <w:trPr>
          <w:trHeight w:val="1055"/>
        </w:trPr>
        <w:tc>
          <w:tcPr>
            <w:tcW w:w="1885" w:type="dxa"/>
          </w:tcPr>
          <w:p w14:paraId="57CCAA37" w14:textId="3B4B8B96" w:rsidR="001D50B9" w:rsidRDefault="001D50B9" w:rsidP="00CC61C1">
            <w:pPr>
              <w:suppressAutoHyphens/>
              <w:autoSpaceDE w:val="0"/>
              <w:autoSpaceDN w:val="0"/>
              <w:adjustRightInd w:val="0"/>
              <w:jc w:val="center"/>
              <w:rPr>
                <w:sz w:val="22"/>
                <w:szCs w:val="22"/>
              </w:rPr>
            </w:pPr>
            <w:r>
              <w:rPr>
                <w:b/>
                <w:bCs/>
                <w:sz w:val="22"/>
                <w:szCs w:val="22"/>
              </w:rPr>
              <w:t>IDR Process</w:t>
            </w:r>
            <w:r w:rsidRPr="00BA1FB9">
              <w:rPr>
                <w:sz w:val="22"/>
                <w:szCs w:val="22"/>
              </w:rPr>
              <w:t xml:space="preserve"> </w:t>
            </w:r>
          </w:p>
          <w:p w14:paraId="5C36DEA5" w14:textId="40084206" w:rsidR="001D50B9" w:rsidRDefault="001D50B9" w:rsidP="00CC61C1">
            <w:pPr>
              <w:suppressAutoHyphens/>
              <w:autoSpaceDE w:val="0"/>
              <w:autoSpaceDN w:val="0"/>
              <w:adjustRightInd w:val="0"/>
              <w:jc w:val="center"/>
              <w:rPr>
                <w:sz w:val="22"/>
                <w:szCs w:val="22"/>
              </w:rPr>
            </w:pPr>
          </w:p>
          <w:p w14:paraId="17D9B11B" w14:textId="7ADF6CC1" w:rsidR="001D50B9" w:rsidRDefault="004408CB" w:rsidP="00CC61C1">
            <w:pPr>
              <w:suppressAutoHyphens/>
              <w:autoSpaceDE w:val="0"/>
              <w:autoSpaceDN w:val="0"/>
              <w:adjustRightInd w:val="0"/>
              <w:jc w:val="center"/>
              <w:rPr>
                <w:sz w:val="22"/>
                <w:szCs w:val="22"/>
              </w:rPr>
            </w:pPr>
            <w:r>
              <w:rPr>
                <w:b/>
                <w:bCs/>
                <w:sz w:val="22"/>
                <w:szCs w:val="22"/>
              </w:rPr>
              <w:t xml:space="preserve">Selection of </w:t>
            </w:r>
            <w:r w:rsidR="00FA7F18">
              <w:rPr>
                <w:b/>
                <w:bCs/>
                <w:sz w:val="22"/>
                <w:szCs w:val="22"/>
              </w:rPr>
              <w:t xml:space="preserve">the </w:t>
            </w:r>
            <w:r>
              <w:rPr>
                <w:b/>
                <w:bCs/>
                <w:sz w:val="22"/>
                <w:szCs w:val="22"/>
              </w:rPr>
              <w:t>IDR Entity</w:t>
            </w:r>
            <w:r w:rsidR="00FA7F18">
              <w:rPr>
                <w:b/>
                <w:bCs/>
                <w:sz w:val="22"/>
                <w:szCs w:val="22"/>
              </w:rPr>
              <w:t xml:space="preserve"> </w:t>
            </w:r>
            <w:r>
              <w:rPr>
                <w:b/>
                <w:bCs/>
                <w:sz w:val="22"/>
                <w:szCs w:val="22"/>
              </w:rPr>
              <w:t xml:space="preserve"> </w:t>
            </w:r>
          </w:p>
          <w:p w14:paraId="12F6BF09" w14:textId="3F771E28" w:rsidR="003A3F5B" w:rsidRPr="00BA1FB9" w:rsidRDefault="003A3F5B" w:rsidP="00CC61C1">
            <w:pPr>
              <w:suppressAutoHyphens/>
              <w:autoSpaceDE w:val="0"/>
              <w:autoSpaceDN w:val="0"/>
              <w:adjustRightInd w:val="0"/>
              <w:jc w:val="center"/>
              <w:rPr>
                <w:sz w:val="22"/>
                <w:szCs w:val="22"/>
              </w:rPr>
            </w:pPr>
          </w:p>
        </w:tc>
        <w:tc>
          <w:tcPr>
            <w:tcW w:w="7020" w:type="dxa"/>
          </w:tcPr>
          <w:p w14:paraId="232B7313" w14:textId="62ED84A5" w:rsidR="003354C8" w:rsidRPr="00B771CC" w:rsidRDefault="00826B25" w:rsidP="00CC61C1">
            <w:pPr>
              <w:rPr>
                <w:sz w:val="22"/>
                <w:szCs w:val="22"/>
              </w:rPr>
            </w:pPr>
            <w:r w:rsidRPr="00B771CC">
              <w:rPr>
                <w:sz w:val="22"/>
                <w:szCs w:val="22"/>
              </w:rPr>
              <w:t xml:space="preserve">Both parties must agree on the </w:t>
            </w:r>
            <w:r w:rsidR="00FA7F18">
              <w:rPr>
                <w:sz w:val="22"/>
                <w:szCs w:val="22"/>
              </w:rPr>
              <w:t xml:space="preserve">entity </w:t>
            </w:r>
            <w:r w:rsidR="006F1A4B">
              <w:rPr>
                <w:sz w:val="22"/>
                <w:szCs w:val="22"/>
              </w:rPr>
              <w:t>that</w:t>
            </w:r>
            <w:r w:rsidR="00FA7F18">
              <w:rPr>
                <w:sz w:val="22"/>
                <w:szCs w:val="22"/>
              </w:rPr>
              <w:t xml:space="preserve"> will serve as arbiter (“</w:t>
            </w:r>
            <w:r w:rsidRPr="00B771CC">
              <w:rPr>
                <w:sz w:val="22"/>
                <w:szCs w:val="22"/>
              </w:rPr>
              <w:t>IDR entity</w:t>
            </w:r>
            <w:r w:rsidR="00FA7F18">
              <w:rPr>
                <w:sz w:val="22"/>
                <w:szCs w:val="22"/>
              </w:rPr>
              <w:t>”)</w:t>
            </w:r>
            <w:r w:rsidR="003354C8" w:rsidRPr="00B771CC">
              <w:rPr>
                <w:sz w:val="22"/>
                <w:szCs w:val="22"/>
              </w:rPr>
              <w:t xml:space="preserve"> and notify the departments</w:t>
            </w:r>
            <w:r w:rsidR="00B771CC" w:rsidRPr="00B771CC">
              <w:rPr>
                <w:sz w:val="22"/>
                <w:szCs w:val="22"/>
              </w:rPr>
              <w:t xml:space="preserve">, via the portal, </w:t>
            </w:r>
            <w:r w:rsidR="003354C8" w:rsidRPr="00B771CC">
              <w:rPr>
                <w:sz w:val="22"/>
                <w:szCs w:val="22"/>
              </w:rPr>
              <w:t xml:space="preserve">of their joint selection within </w:t>
            </w:r>
            <w:r w:rsidR="006F1A4B">
              <w:rPr>
                <w:sz w:val="22"/>
                <w:szCs w:val="22"/>
              </w:rPr>
              <w:t xml:space="preserve">four </w:t>
            </w:r>
            <w:r w:rsidR="003354C8" w:rsidRPr="00B771CC">
              <w:rPr>
                <w:sz w:val="22"/>
                <w:szCs w:val="22"/>
              </w:rPr>
              <w:t>business days of the initiation of the IDR process</w:t>
            </w:r>
            <w:r w:rsidRPr="00B771CC">
              <w:rPr>
                <w:sz w:val="22"/>
                <w:szCs w:val="22"/>
              </w:rPr>
              <w:t xml:space="preserve">. </w:t>
            </w:r>
          </w:p>
          <w:p w14:paraId="6980D2D0" w14:textId="4D06896E" w:rsidR="003354C8" w:rsidRPr="00FA7F18" w:rsidRDefault="003354C8" w:rsidP="00A0124D">
            <w:pPr>
              <w:pStyle w:val="ListParagraph"/>
              <w:numPr>
                <w:ilvl w:val="0"/>
                <w:numId w:val="4"/>
              </w:numPr>
              <w:spacing w:after="0" w:line="240" w:lineRule="auto"/>
              <w:ind w:left="246" w:hanging="246"/>
              <w:rPr>
                <w:rFonts w:ascii="Garamond" w:hAnsi="Garamond"/>
              </w:rPr>
            </w:pPr>
            <w:r w:rsidRPr="00B771CC">
              <w:rPr>
                <w:rFonts w:ascii="Garamond" w:hAnsi="Garamond"/>
              </w:rPr>
              <w:t xml:space="preserve">If the opposing party objects to the preferred entity, they </w:t>
            </w:r>
            <w:r w:rsidR="00FA7F18" w:rsidRPr="00B771CC">
              <w:rPr>
                <w:rFonts w:ascii="Garamond" w:hAnsi="Garamond"/>
              </w:rPr>
              <w:t xml:space="preserve"> must provide an explanation and propose an alternative.</w:t>
            </w:r>
          </w:p>
          <w:p w14:paraId="72382875" w14:textId="7A5E6225" w:rsidR="00B771CC" w:rsidRDefault="003354C8" w:rsidP="00A0124D">
            <w:pPr>
              <w:pStyle w:val="ListParagraph"/>
              <w:numPr>
                <w:ilvl w:val="0"/>
                <w:numId w:val="4"/>
              </w:numPr>
              <w:spacing w:after="0" w:line="240" w:lineRule="auto"/>
              <w:ind w:left="246" w:hanging="246"/>
              <w:rPr>
                <w:rFonts w:ascii="Garamond" w:hAnsi="Garamond"/>
              </w:rPr>
            </w:pPr>
            <w:r w:rsidRPr="00B771CC">
              <w:rPr>
                <w:rFonts w:ascii="Garamond" w:hAnsi="Garamond"/>
              </w:rPr>
              <w:t xml:space="preserve">If the parties fail to agree on an entity within three business days, </w:t>
            </w:r>
            <w:r w:rsidR="00FA7F18">
              <w:rPr>
                <w:rFonts w:ascii="Garamond" w:hAnsi="Garamond"/>
              </w:rPr>
              <w:t>t</w:t>
            </w:r>
            <w:r w:rsidR="00B771CC">
              <w:rPr>
                <w:rFonts w:ascii="Garamond" w:hAnsi="Garamond"/>
              </w:rPr>
              <w:t>he departments will randomly select</w:t>
            </w:r>
            <w:r w:rsidR="00C504E4">
              <w:rPr>
                <w:rFonts w:ascii="Garamond" w:hAnsi="Garamond"/>
              </w:rPr>
              <w:t xml:space="preserve"> </w:t>
            </w:r>
            <w:r w:rsidR="00B771CC">
              <w:rPr>
                <w:rFonts w:ascii="Garamond" w:hAnsi="Garamond"/>
              </w:rPr>
              <w:t>the entity</w:t>
            </w:r>
            <w:r w:rsidR="00C504E4">
              <w:rPr>
                <w:rFonts w:ascii="Garamond" w:hAnsi="Garamond"/>
              </w:rPr>
              <w:t xml:space="preserve">. </w:t>
            </w:r>
          </w:p>
          <w:p w14:paraId="11E82F3D" w14:textId="77777777" w:rsidR="00FA7F18" w:rsidRPr="00B771CC" w:rsidRDefault="00FA7F18" w:rsidP="00FA7F18">
            <w:pPr>
              <w:pStyle w:val="ListParagraph"/>
              <w:spacing w:after="0" w:line="240" w:lineRule="auto"/>
              <w:ind w:left="246"/>
              <w:rPr>
                <w:rFonts w:ascii="Garamond" w:hAnsi="Garamond"/>
              </w:rPr>
            </w:pPr>
          </w:p>
          <w:p w14:paraId="79F4B727" w14:textId="78D86CD6" w:rsidR="00B771CC" w:rsidRPr="00C504E4" w:rsidRDefault="00B771CC" w:rsidP="00CC61C1">
            <w:pPr>
              <w:rPr>
                <w:sz w:val="22"/>
                <w:szCs w:val="22"/>
              </w:rPr>
            </w:pPr>
            <w:r w:rsidRPr="00C504E4">
              <w:rPr>
                <w:sz w:val="22"/>
                <w:szCs w:val="22"/>
              </w:rPr>
              <w:lastRenderedPageBreak/>
              <w:t>The IDR portal will include a list of certified IDR entities</w:t>
            </w:r>
            <w:r w:rsidR="00FA7F18">
              <w:rPr>
                <w:sz w:val="22"/>
                <w:szCs w:val="22"/>
              </w:rPr>
              <w:t xml:space="preserve">. </w:t>
            </w:r>
            <w:r w:rsidRPr="00C504E4">
              <w:rPr>
                <w:sz w:val="22"/>
                <w:szCs w:val="22"/>
              </w:rPr>
              <w:t xml:space="preserve">Selected entities must not have a conflict of interest. </w:t>
            </w:r>
          </w:p>
          <w:p w14:paraId="1F0B8780" w14:textId="656304BC" w:rsidR="003A3F5B" w:rsidRPr="00D7695A" w:rsidRDefault="00FA7F18" w:rsidP="00A0124D">
            <w:pPr>
              <w:pStyle w:val="ListParagraph"/>
              <w:numPr>
                <w:ilvl w:val="0"/>
                <w:numId w:val="5"/>
              </w:numPr>
              <w:spacing w:after="0" w:line="240" w:lineRule="auto"/>
              <w:ind w:left="246" w:hanging="246"/>
              <w:rPr>
                <w:rFonts w:ascii="Garamond" w:hAnsi="Garamond"/>
              </w:rPr>
            </w:pPr>
            <w:r>
              <w:rPr>
                <w:rFonts w:ascii="Garamond" w:hAnsi="Garamond"/>
              </w:rPr>
              <w:t xml:space="preserve">Certified </w:t>
            </w:r>
            <w:r w:rsidR="00B771CC" w:rsidRPr="00B771CC">
              <w:rPr>
                <w:rFonts w:ascii="Garamond" w:hAnsi="Garamond"/>
              </w:rPr>
              <w:t xml:space="preserve">entities will be organizations with sufficient staff with arbitration and health care claims experience, including those that are currently provided external review of state IDR determinations. </w:t>
            </w:r>
          </w:p>
        </w:tc>
        <w:tc>
          <w:tcPr>
            <w:tcW w:w="2970" w:type="dxa"/>
          </w:tcPr>
          <w:p w14:paraId="349C9A09" w14:textId="77777777" w:rsidR="003A3F5B" w:rsidRPr="00BA1FB9" w:rsidRDefault="003A3F5B" w:rsidP="00CC61C1">
            <w:pPr>
              <w:rPr>
                <w:sz w:val="22"/>
                <w:szCs w:val="22"/>
              </w:rPr>
            </w:pPr>
          </w:p>
          <w:p w14:paraId="1859FB11" w14:textId="36E33BB3" w:rsidR="003A3F5B" w:rsidRPr="00BA1FB9" w:rsidRDefault="003A3F5B" w:rsidP="00CC61C1">
            <w:pPr>
              <w:suppressAutoHyphens/>
              <w:autoSpaceDE w:val="0"/>
              <w:autoSpaceDN w:val="0"/>
              <w:adjustRightInd w:val="0"/>
              <w:rPr>
                <w:sz w:val="22"/>
                <w:szCs w:val="22"/>
              </w:rPr>
            </w:pPr>
          </w:p>
        </w:tc>
        <w:tc>
          <w:tcPr>
            <w:tcW w:w="2700" w:type="dxa"/>
          </w:tcPr>
          <w:p w14:paraId="6713CEC2" w14:textId="77777777" w:rsidR="003A3F5B" w:rsidRPr="00BA1FB9" w:rsidRDefault="003A3F5B" w:rsidP="00CC61C1">
            <w:pPr>
              <w:suppressAutoHyphens/>
              <w:autoSpaceDE w:val="0"/>
              <w:autoSpaceDN w:val="0"/>
              <w:adjustRightInd w:val="0"/>
              <w:rPr>
                <w:sz w:val="22"/>
                <w:szCs w:val="22"/>
                <w:highlight w:val="yellow"/>
              </w:rPr>
            </w:pPr>
          </w:p>
        </w:tc>
      </w:tr>
      <w:tr w:rsidR="00C504E4" w:rsidRPr="00BA1FB9" w14:paraId="4C5941CB" w14:textId="77777777" w:rsidTr="00975A0B">
        <w:trPr>
          <w:trHeight w:val="800"/>
        </w:trPr>
        <w:tc>
          <w:tcPr>
            <w:tcW w:w="1885" w:type="dxa"/>
          </w:tcPr>
          <w:p w14:paraId="68A0ECC7" w14:textId="00A88116" w:rsidR="00C504E4" w:rsidRDefault="00C504E4" w:rsidP="00CC61C1">
            <w:pPr>
              <w:suppressAutoHyphens/>
              <w:autoSpaceDE w:val="0"/>
              <w:autoSpaceDN w:val="0"/>
              <w:adjustRightInd w:val="0"/>
              <w:jc w:val="center"/>
              <w:rPr>
                <w:sz w:val="22"/>
                <w:szCs w:val="22"/>
              </w:rPr>
            </w:pPr>
            <w:r>
              <w:rPr>
                <w:b/>
                <w:bCs/>
                <w:sz w:val="22"/>
                <w:szCs w:val="22"/>
              </w:rPr>
              <w:t>IDR Process</w:t>
            </w:r>
            <w:r w:rsidRPr="00BA1FB9">
              <w:rPr>
                <w:sz w:val="22"/>
                <w:szCs w:val="22"/>
              </w:rPr>
              <w:t xml:space="preserve"> </w:t>
            </w:r>
          </w:p>
          <w:p w14:paraId="5B6CE6F5" w14:textId="7BE52728" w:rsidR="00C504E4" w:rsidRDefault="00C504E4" w:rsidP="00CC61C1">
            <w:pPr>
              <w:suppressAutoHyphens/>
              <w:autoSpaceDE w:val="0"/>
              <w:autoSpaceDN w:val="0"/>
              <w:adjustRightInd w:val="0"/>
              <w:jc w:val="center"/>
              <w:rPr>
                <w:sz w:val="22"/>
                <w:szCs w:val="22"/>
              </w:rPr>
            </w:pPr>
          </w:p>
          <w:p w14:paraId="211C3340" w14:textId="15B31D22" w:rsidR="00C504E4" w:rsidRPr="00C504E4" w:rsidRDefault="00C504E4" w:rsidP="00CC61C1">
            <w:pPr>
              <w:suppressAutoHyphens/>
              <w:autoSpaceDE w:val="0"/>
              <w:autoSpaceDN w:val="0"/>
              <w:adjustRightInd w:val="0"/>
              <w:jc w:val="center"/>
              <w:rPr>
                <w:b/>
                <w:bCs/>
                <w:sz w:val="22"/>
                <w:szCs w:val="22"/>
              </w:rPr>
            </w:pPr>
            <w:r w:rsidRPr="00C504E4">
              <w:rPr>
                <w:b/>
                <w:bCs/>
                <w:sz w:val="22"/>
                <w:szCs w:val="22"/>
              </w:rPr>
              <w:t>Authority to Continue Negotiations</w:t>
            </w:r>
            <w:r w:rsidR="00FA7F18">
              <w:rPr>
                <w:b/>
                <w:bCs/>
                <w:sz w:val="22"/>
                <w:szCs w:val="22"/>
              </w:rPr>
              <w:t xml:space="preserve"> after Beginning of IDR Process</w:t>
            </w:r>
          </w:p>
          <w:p w14:paraId="1C681E26" w14:textId="77777777" w:rsidR="00C504E4" w:rsidRDefault="00C504E4" w:rsidP="00CC61C1">
            <w:pPr>
              <w:suppressAutoHyphens/>
              <w:autoSpaceDE w:val="0"/>
              <w:autoSpaceDN w:val="0"/>
              <w:adjustRightInd w:val="0"/>
              <w:jc w:val="center"/>
              <w:rPr>
                <w:b/>
                <w:bCs/>
                <w:sz w:val="22"/>
                <w:szCs w:val="22"/>
              </w:rPr>
            </w:pPr>
          </w:p>
        </w:tc>
        <w:tc>
          <w:tcPr>
            <w:tcW w:w="7020" w:type="dxa"/>
          </w:tcPr>
          <w:p w14:paraId="320E956C" w14:textId="77777777" w:rsidR="00C504E4" w:rsidRDefault="00C504E4" w:rsidP="00CC61C1">
            <w:pPr>
              <w:rPr>
                <w:sz w:val="22"/>
                <w:szCs w:val="22"/>
              </w:rPr>
            </w:pPr>
            <w:r>
              <w:rPr>
                <w:sz w:val="22"/>
                <w:szCs w:val="22"/>
              </w:rPr>
              <w:t xml:space="preserve">If the two parties agree on a payment amount after IDR has started, that amount will be treated as the out-of-network payment amount. </w:t>
            </w:r>
          </w:p>
          <w:p w14:paraId="4EA83FFD" w14:textId="77777777" w:rsidR="00C504E4" w:rsidRPr="00C504E4" w:rsidRDefault="00C504E4" w:rsidP="00A0124D">
            <w:pPr>
              <w:pStyle w:val="ListParagraph"/>
              <w:numPr>
                <w:ilvl w:val="0"/>
                <w:numId w:val="6"/>
              </w:numPr>
              <w:spacing w:after="0" w:line="240" w:lineRule="auto"/>
              <w:ind w:left="245" w:hanging="274"/>
              <w:rPr>
                <w:rFonts w:ascii="Garamond" w:hAnsi="Garamond"/>
              </w:rPr>
            </w:pPr>
            <w:r w:rsidRPr="00C504E4">
              <w:rPr>
                <w:rFonts w:ascii="Garamond" w:hAnsi="Garamond"/>
              </w:rPr>
              <w:t xml:space="preserve">Notice of an agreement must be provided to the departments via the portal within three business days of the date of the agreement. </w:t>
            </w:r>
          </w:p>
          <w:p w14:paraId="4DD7A839" w14:textId="2EA047D2" w:rsidR="00C504E4" w:rsidRPr="00C504E4" w:rsidRDefault="00C504E4" w:rsidP="00A0124D">
            <w:pPr>
              <w:pStyle w:val="ListParagraph"/>
              <w:numPr>
                <w:ilvl w:val="0"/>
                <w:numId w:val="6"/>
              </w:numPr>
              <w:spacing w:after="0" w:line="240" w:lineRule="auto"/>
              <w:ind w:left="245" w:hanging="274"/>
              <w:rPr>
                <w:rFonts w:ascii="Garamond" w:hAnsi="Garamond"/>
              </w:rPr>
            </w:pPr>
            <w:r w:rsidRPr="00C504E4">
              <w:rPr>
                <w:rFonts w:ascii="Garamond" w:hAnsi="Garamond"/>
              </w:rPr>
              <w:t xml:space="preserve">The amount by which the agreed-upon </w:t>
            </w:r>
            <w:r w:rsidR="00FA7F18">
              <w:rPr>
                <w:rFonts w:ascii="Garamond" w:hAnsi="Garamond"/>
              </w:rPr>
              <w:t>payment</w:t>
            </w:r>
            <w:r w:rsidRPr="00C504E4">
              <w:rPr>
                <w:rFonts w:ascii="Garamond" w:hAnsi="Garamond"/>
              </w:rPr>
              <w:t xml:space="preserve"> rate exceeds </w:t>
            </w:r>
            <w:r>
              <w:rPr>
                <w:rFonts w:ascii="Garamond" w:hAnsi="Garamond"/>
              </w:rPr>
              <w:t>the</w:t>
            </w:r>
            <w:r w:rsidRPr="00C504E4">
              <w:rPr>
                <w:rFonts w:ascii="Garamond" w:hAnsi="Garamond"/>
              </w:rPr>
              <w:t xml:space="preserve"> cost-sharing amount is the total plan amount. The plan must pay the balance to the nonparticipating provider/facility within 30 days.</w:t>
            </w:r>
            <w:r>
              <w:t xml:space="preserve">  </w:t>
            </w:r>
          </w:p>
          <w:p w14:paraId="5E021012" w14:textId="77777777" w:rsidR="00FA7F18" w:rsidRDefault="00C504E4" w:rsidP="00A0124D">
            <w:pPr>
              <w:pStyle w:val="ListParagraph"/>
              <w:numPr>
                <w:ilvl w:val="0"/>
                <w:numId w:val="6"/>
              </w:numPr>
              <w:spacing w:after="0" w:line="240" w:lineRule="auto"/>
              <w:ind w:left="246" w:hanging="270"/>
              <w:rPr>
                <w:rFonts w:ascii="Garamond" w:hAnsi="Garamond"/>
              </w:rPr>
            </w:pPr>
            <w:r>
              <w:rPr>
                <w:rFonts w:ascii="Garamond" w:hAnsi="Garamond"/>
              </w:rPr>
              <w:t>Each party must pay half of the IDR fees</w:t>
            </w:r>
            <w:r w:rsidR="00FA7F18">
              <w:rPr>
                <w:rFonts w:ascii="Garamond" w:hAnsi="Garamond"/>
              </w:rPr>
              <w:t>.</w:t>
            </w:r>
          </w:p>
          <w:p w14:paraId="61595060" w14:textId="4CE92D18" w:rsidR="00C504E4" w:rsidRPr="00C504E4" w:rsidRDefault="00FA7F18" w:rsidP="00A0124D">
            <w:pPr>
              <w:pStyle w:val="ListParagraph"/>
              <w:numPr>
                <w:ilvl w:val="0"/>
                <w:numId w:val="6"/>
              </w:numPr>
              <w:spacing w:after="0" w:line="240" w:lineRule="auto"/>
              <w:ind w:left="246" w:hanging="270"/>
              <w:rPr>
                <w:rFonts w:ascii="Garamond" w:hAnsi="Garamond"/>
              </w:rPr>
            </w:pPr>
            <w:r>
              <w:rPr>
                <w:rFonts w:ascii="Garamond" w:hAnsi="Garamond"/>
              </w:rPr>
              <w:t xml:space="preserve">Neither </w:t>
            </w:r>
            <w:r w:rsidR="00C504E4">
              <w:rPr>
                <w:rFonts w:ascii="Garamond" w:hAnsi="Garamond"/>
              </w:rPr>
              <w:t xml:space="preserve">party may seek additional payment from the patient if the </w:t>
            </w:r>
            <w:r w:rsidR="006F1A4B">
              <w:rPr>
                <w:rFonts w:ascii="Garamond" w:hAnsi="Garamond"/>
              </w:rPr>
              <w:t xml:space="preserve">final payment amount </w:t>
            </w:r>
            <w:r w:rsidR="00C504E4">
              <w:rPr>
                <w:rFonts w:ascii="Garamond" w:hAnsi="Garamond"/>
              </w:rPr>
              <w:t>exceeds the QPA</w:t>
            </w:r>
            <w:r w:rsidR="006F1A4B">
              <w:rPr>
                <w:rFonts w:ascii="Garamond" w:hAnsi="Garamond"/>
              </w:rPr>
              <w:t xml:space="preserve">. </w:t>
            </w:r>
            <w:r w:rsidR="00C504E4">
              <w:rPr>
                <w:rFonts w:ascii="Garamond" w:hAnsi="Garamond"/>
              </w:rPr>
              <w:t xml:space="preserve"> </w:t>
            </w:r>
          </w:p>
        </w:tc>
        <w:tc>
          <w:tcPr>
            <w:tcW w:w="2970" w:type="dxa"/>
          </w:tcPr>
          <w:p w14:paraId="3A6D5209" w14:textId="77777777" w:rsidR="00C504E4" w:rsidRPr="000B706D" w:rsidRDefault="00C504E4" w:rsidP="00CC61C1">
            <w:pPr>
              <w:rPr>
                <w:sz w:val="22"/>
                <w:szCs w:val="22"/>
              </w:rPr>
            </w:pPr>
          </w:p>
        </w:tc>
        <w:tc>
          <w:tcPr>
            <w:tcW w:w="2700" w:type="dxa"/>
          </w:tcPr>
          <w:p w14:paraId="0EF0F0F9" w14:textId="77777777" w:rsidR="00C504E4" w:rsidRPr="00BA1FB9" w:rsidRDefault="00C504E4" w:rsidP="00CC61C1">
            <w:pPr>
              <w:rPr>
                <w:sz w:val="22"/>
                <w:szCs w:val="22"/>
                <w:highlight w:val="yellow"/>
              </w:rPr>
            </w:pPr>
          </w:p>
        </w:tc>
      </w:tr>
      <w:tr w:rsidR="008D7632" w:rsidRPr="00BA1FB9" w14:paraId="29A912DD" w14:textId="248CD666" w:rsidTr="008D7632">
        <w:tc>
          <w:tcPr>
            <w:tcW w:w="1885" w:type="dxa"/>
          </w:tcPr>
          <w:p w14:paraId="63689DB6" w14:textId="77777777" w:rsidR="008D7632" w:rsidRPr="008E3955" w:rsidRDefault="008D7632" w:rsidP="008D7632">
            <w:pPr>
              <w:suppressAutoHyphens/>
              <w:autoSpaceDE w:val="0"/>
              <w:autoSpaceDN w:val="0"/>
              <w:adjustRightInd w:val="0"/>
              <w:jc w:val="center"/>
              <w:rPr>
                <w:sz w:val="22"/>
                <w:szCs w:val="22"/>
              </w:rPr>
            </w:pPr>
            <w:r w:rsidRPr="008E3955">
              <w:rPr>
                <w:b/>
                <w:bCs/>
                <w:sz w:val="22"/>
                <w:szCs w:val="22"/>
              </w:rPr>
              <w:t>IDR Process</w:t>
            </w:r>
            <w:r w:rsidRPr="008E3955">
              <w:rPr>
                <w:sz w:val="22"/>
                <w:szCs w:val="22"/>
              </w:rPr>
              <w:t xml:space="preserve"> </w:t>
            </w:r>
          </w:p>
          <w:p w14:paraId="5BFD530F" w14:textId="77777777" w:rsidR="008D7632" w:rsidRPr="008E3955" w:rsidRDefault="008D7632" w:rsidP="008D7632">
            <w:pPr>
              <w:suppressAutoHyphens/>
              <w:autoSpaceDE w:val="0"/>
              <w:autoSpaceDN w:val="0"/>
              <w:adjustRightInd w:val="0"/>
              <w:jc w:val="center"/>
              <w:rPr>
                <w:sz w:val="22"/>
                <w:szCs w:val="22"/>
              </w:rPr>
            </w:pPr>
          </w:p>
          <w:p w14:paraId="049FF29D" w14:textId="05A93AF7" w:rsidR="008D7632" w:rsidRPr="008E3955" w:rsidRDefault="008D7632" w:rsidP="008D7632">
            <w:pPr>
              <w:suppressAutoHyphens/>
              <w:autoSpaceDE w:val="0"/>
              <w:autoSpaceDN w:val="0"/>
              <w:adjustRightInd w:val="0"/>
              <w:jc w:val="center"/>
              <w:rPr>
                <w:sz w:val="22"/>
                <w:szCs w:val="22"/>
              </w:rPr>
            </w:pPr>
            <w:r w:rsidRPr="008E3955">
              <w:rPr>
                <w:b/>
                <w:bCs/>
                <w:sz w:val="22"/>
                <w:szCs w:val="22"/>
              </w:rPr>
              <w:t>Submission of Offers</w:t>
            </w:r>
          </w:p>
        </w:tc>
        <w:tc>
          <w:tcPr>
            <w:tcW w:w="7020" w:type="dxa"/>
          </w:tcPr>
          <w:p w14:paraId="3CFA3EF9" w14:textId="5AB57D14" w:rsidR="008D7632" w:rsidRPr="008E3955" w:rsidRDefault="008D7632" w:rsidP="008D7632">
            <w:pPr>
              <w:rPr>
                <w:sz w:val="22"/>
                <w:szCs w:val="22"/>
              </w:rPr>
            </w:pPr>
            <w:r w:rsidRPr="008E3955">
              <w:rPr>
                <w:sz w:val="22"/>
                <w:szCs w:val="22"/>
              </w:rPr>
              <w:t>Within 10 business days of the selection of the IDR entity, both parties must submit</w:t>
            </w:r>
            <w:r w:rsidR="006F1A4B">
              <w:rPr>
                <w:sz w:val="22"/>
                <w:szCs w:val="22"/>
              </w:rPr>
              <w:t xml:space="preserve"> (</w:t>
            </w:r>
            <w:r w:rsidRPr="008E3955">
              <w:rPr>
                <w:sz w:val="22"/>
                <w:szCs w:val="22"/>
              </w:rPr>
              <w:t>via the portal</w:t>
            </w:r>
            <w:r w:rsidR="006F1A4B">
              <w:rPr>
                <w:sz w:val="22"/>
                <w:szCs w:val="22"/>
              </w:rPr>
              <w:t>)</w:t>
            </w:r>
            <w:r w:rsidRPr="008E3955">
              <w:rPr>
                <w:sz w:val="22"/>
                <w:szCs w:val="22"/>
              </w:rPr>
              <w:t xml:space="preserve"> a payment offer to the entity, expressed as a dollar amount and a percentage of the QPA for that item or service. </w:t>
            </w:r>
            <w:r w:rsidR="006F1A4B">
              <w:rPr>
                <w:sz w:val="22"/>
                <w:szCs w:val="22"/>
              </w:rPr>
              <w:t xml:space="preserve">They </w:t>
            </w:r>
            <w:r w:rsidRPr="008E3955">
              <w:rPr>
                <w:sz w:val="22"/>
                <w:szCs w:val="22"/>
              </w:rPr>
              <w:t xml:space="preserve">must </w:t>
            </w:r>
            <w:r w:rsidR="006F1A4B">
              <w:rPr>
                <w:sz w:val="22"/>
                <w:szCs w:val="22"/>
              </w:rPr>
              <w:t xml:space="preserve">also </w:t>
            </w:r>
            <w:r w:rsidRPr="008E3955">
              <w:rPr>
                <w:sz w:val="22"/>
                <w:szCs w:val="22"/>
              </w:rPr>
              <w:t>provide any other information requested by the entity.</w:t>
            </w:r>
          </w:p>
          <w:p w14:paraId="674E9ADE" w14:textId="77777777" w:rsidR="008D7632" w:rsidRPr="008D7632" w:rsidRDefault="008D7632" w:rsidP="00A0124D">
            <w:pPr>
              <w:pStyle w:val="ListParagraph"/>
              <w:numPr>
                <w:ilvl w:val="0"/>
                <w:numId w:val="30"/>
              </w:numPr>
              <w:spacing w:after="0"/>
              <w:ind w:left="246" w:hanging="270"/>
              <w:rPr>
                <w:rFonts w:ascii="Garamond" w:hAnsi="Garamond"/>
              </w:rPr>
            </w:pPr>
            <w:r w:rsidRPr="008D7632">
              <w:rPr>
                <w:rFonts w:ascii="Garamond" w:hAnsi="Garamond"/>
              </w:rPr>
              <w:t xml:space="preserve">Providers/facilities must: </w:t>
            </w:r>
          </w:p>
          <w:p w14:paraId="4D9815BB" w14:textId="7F8C5B21" w:rsidR="008D7632" w:rsidRPr="008D7632" w:rsidRDefault="008D7632" w:rsidP="00A0124D">
            <w:pPr>
              <w:pStyle w:val="ListParagraph"/>
              <w:numPr>
                <w:ilvl w:val="0"/>
                <w:numId w:val="31"/>
              </w:numPr>
              <w:spacing w:after="0" w:line="240" w:lineRule="auto"/>
              <w:rPr>
                <w:rFonts w:ascii="Garamond" w:hAnsi="Garamond"/>
              </w:rPr>
            </w:pPr>
            <w:r w:rsidRPr="008D7632">
              <w:rPr>
                <w:rFonts w:ascii="Garamond" w:hAnsi="Garamond"/>
              </w:rPr>
              <w:t>Indicate the number of employees in their facility or practice</w:t>
            </w:r>
            <w:r w:rsidR="006F1A4B">
              <w:rPr>
                <w:rFonts w:ascii="Garamond" w:hAnsi="Garamond"/>
              </w:rPr>
              <w:t>.</w:t>
            </w:r>
          </w:p>
          <w:p w14:paraId="5E869407" w14:textId="4690EC49" w:rsidR="008D7632" w:rsidRPr="008D7632" w:rsidRDefault="008D7632" w:rsidP="00A0124D">
            <w:pPr>
              <w:pStyle w:val="ListParagraph"/>
              <w:numPr>
                <w:ilvl w:val="0"/>
                <w:numId w:val="31"/>
              </w:numPr>
              <w:spacing w:after="0" w:line="240" w:lineRule="auto"/>
              <w:rPr>
                <w:rFonts w:ascii="Garamond" w:hAnsi="Garamond"/>
              </w:rPr>
            </w:pPr>
            <w:r w:rsidRPr="008D7632">
              <w:rPr>
                <w:rFonts w:ascii="Garamond" w:hAnsi="Garamond"/>
              </w:rPr>
              <w:t>Specify their practice specialty or type</w:t>
            </w:r>
            <w:r w:rsidR="006F1A4B">
              <w:rPr>
                <w:rFonts w:ascii="Garamond" w:hAnsi="Garamond"/>
              </w:rPr>
              <w:t>.</w:t>
            </w:r>
          </w:p>
          <w:p w14:paraId="6BE9BC5D" w14:textId="77777777" w:rsidR="008D7632" w:rsidRPr="008D7632" w:rsidRDefault="008D7632" w:rsidP="00A0124D">
            <w:pPr>
              <w:pStyle w:val="ListParagraph"/>
              <w:numPr>
                <w:ilvl w:val="0"/>
                <w:numId w:val="32"/>
              </w:numPr>
              <w:spacing w:after="0"/>
              <w:ind w:left="246" w:hanging="246"/>
              <w:rPr>
                <w:rFonts w:ascii="Garamond" w:hAnsi="Garamond"/>
              </w:rPr>
            </w:pPr>
            <w:r w:rsidRPr="008D7632">
              <w:rPr>
                <w:rFonts w:ascii="Garamond" w:hAnsi="Garamond"/>
              </w:rPr>
              <w:t xml:space="preserve">Plans must: </w:t>
            </w:r>
          </w:p>
          <w:p w14:paraId="00EC243D" w14:textId="2F2820FD" w:rsidR="008D7632" w:rsidRPr="008D7632" w:rsidRDefault="008D7632" w:rsidP="00A0124D">
            <w:pPr>
              <w:pStyle w:val="ListParagraph"/>
              <w:numPr>
                <w:ilvl w:val="0"/>
                <w:numId w:val="33"/>
              </w:numPr>
              <w:spacing w:after="0" w:line="240" w:lineRule="auto"/>
              <w:rPr>
                <w:rFonts w:ascii="Garamond" w:hAnsi="Garamond"/>
              </w:rPr>
            </w:pPr>
            <w:r w:rsidRPr="008D7632">
              <w:rPr>
                <w:rFonts w:ascii="Garamond" w:hAnsi="Garamond"/>
              </w:rPr>
              <w:t>Provide their coverage area</w:t>
            </w:r>
            <w:r w:rsidR="006F1A4B">
              <w:rPr>
                <w:rFonts w:ascii="Garamond" w:hAnsi="Garamond"/>
              </w:rPr>
              <w:t>.</w:t>
            </w:r>
          </w:p>
          <w:p w14:paraId="7E36F3BA" w14:textId="09EA4016" w:rsidR="008D7632" w:rsidRPr="008D7632" w:rsidRDefault="008D7632" w:rsidP="00A0124D">
            <w:pPr>
              <w:pStyle w:val="ListParagraph"/>
              <w:numPr>
                <w:ilvl w:val="0"/>
                <w:numId w:val="33"/>
              </w:numPr>
              <w:spacing w:after="0" w:line="240" w:lineRule="auto"/>
              <w:rPr>
                <w:rFonts w:ascii="Garamond" w:hAnsi="Garamond"/>
              </w:rPr>
            </w:pPr>
            <w:r w:rsidRPr="008D7632">
              <w:rPr>
                <w:rFonts w:ascii="Garamond" w:hAnsi="Garamond"/>
              </w:rPr>
              <w:t xml:space="preserve">Indicate the relevant geographic area that </w:t>
            </w:r>
            <w:r w:rsidR="006F1A4B">
              <w:rPr>
                <w:rFonts w:ascii="Garamond" w:hAnsi="Garamond"/>
              </w:rPr>
              <w:t>wa</w:t>
            </w:r>
            <w:r w:rsidRPr="008D7632">
              <w:rPr>
                <w:rFonts w:ascii="Garamond" w:hAnsi="Garamond"/>
              </w:rPr>
              <w:t>s used to determine the QPA</w:t>
            </w:r>
            <w:r w:rsidR="006F1A4B">
              <w:rPr>
                <w:rFonts w:ascii="Garamond" w:hAnsi="Garamond"/>
              </w:rPr>
              <w:t>.</w:t>
            </w:r>
          </w:p>
          <w:p w14:paraId="1D310FEC" w14:textId="1C9935E7" w:rsidR="008D7632" w:rsidRPr="008D7632" w:rsidRDefault="008D7632" w:rsidP="00A0124D">
            <w:pPr>
              <w:pStyle w:val="ListParagraph"/>
              <w:numPr>
                <w:ilvl w:val="0"/>
                <w:numId w:val="33"/>
              </w:numPr>
              <w:spacing w:after="0" w:line="240" w:lineRule="auto"/>
              <w:rPr>
                <w:rFonts w:ascii="Garamond" w:hAnsi="Garamond"/>
              </w:rPr>
            </w:pPr>
            <w:r w:rsidRPr="008D7632">
              <w:rPr>
                <w:rFonts w:ascii="Garamond" w:hAnsi="Garamond"/>
              </w:rPr>
              <w:t>Indicate whether they are fully insured, partially insured or self-insured</w:t>
            </w:r>
            <w:r w:rsidR="006F1A4B">
              <w:rPr>
                <w:rFonts w:ascii="Garamond" w:hAnsi="Garamond"/>
              </w:rPr>
              <w:t>.</w:t>
            </w:r>
            <w:r w:rsidRPr="008D7632">
              <w:rPr>
                <w:rFonts w:ascii="Garamond" w:hAnsi="Garamond"/>
              </w:rPr>
              <w:t xml:space="preserve"> </w:t>
            </w:r>
          </w:p>
          <w:p w14:paraId="072B129B" w14:textId="3594BDE1" w:rsidR="008D7632" w:rsidRPr="008D7632" w:rsidRDefault="008D7632" w:rsidP="008D7632">
            <w:pPr>
              <w:rPr>
                <w:sz w:val="22"/>
                <w:szCs w:val="22"/>
              </w:rPr>
            </w:pPr>
            <w:r w:rsidRPr="008E3955">
              <w:rPr>
                <w:sz w:val="22"/>
                <w:szCs w:val="22"/>
              </w:rPr>
              <w:t xml:space="preserve">Both parties may submit other relevant information, but may not include information that relates to usual and customary charges, billed amounts or public payer rates. </w:t>
            </w:r>
          </w:p>
        </w:tc>
        <w:tc>
          <w:tcPr>
            <w:tcW w:w="2970" w:type="dxa"/>
          </w:tcPr>
          <w:p w14:paraId="4327D2AC" w14:textId="2BDE2E76" w:rsidR="008D7632" w:rsidRDefault="008D7632" w:rsidP="008D7632">
            <w:pPr>
              <w:rPr>
                <w:sz w:val="22"/>
                <w:szCs w:val="22"/>
              </w:rPr>
            </w:pPr>
            <w:r w:rsidRPr="000B706D">
              <w:rPr>
                <w:sz w:val="22"/>
                <w:szCs w:val="22"/>
              </w:rPr>
              <w:t xml:space="preserve">The </w:t>
            </w:r>
            <w:r>
              <w:rPr>
                <w:sz w:val="22"/>
                <w:szCs w:val="22"/>
              </w:rPr>
              <w:t>d</w:t>
            </w:r>
            <w:r w:rsidRPr="000B706D">
              <w:rPr>
                <w:sz w:val="22"/>
                <w:szCs w:val="22"/>
              </w:rPr>
              <w:t xml:space="preserve">epartments seek comment on </w:t>
            </w:r>
            <w:r>
              <w:rPr>
                <w:sz w:val="22"/>
                <w:szCs w:val="22"/>
              </w:rPr>
              <w:t>whether additional guidance is needed on how hospitals or practices that do not employ their medical staff should report their number of employees</w:t>
            </w:r>
            <w:r w:rsidRPr="000B706D">
              <w:rPr>
                <w:sz w:val="22"/>
                <w:szCs w:val="22"/>
              </w:rPr>
              <w:t>.</w:t>
            </w:r>
          </w:p>
          <w:p w14:paraId="044BAB84" w14:textId="77777777" w:rsidR="008D7632" w:rsidRDefault="008D7632" w:rsidP="008D7632">
            <w:pPr>
              <w:rPr>
                <w:sz w:val="22"/>
                <w:szCs w:val="22"/>
              </w:rPr>
            </w:pPr>
          </w:p>
          <w:p w14:paraId="18A38D58" w14:textId="77777777" w:rsidR="008D7632" w:rsidRDefault="008D7632" w:rsidP="008D7632">
            <w:pPr>
              <w:rPr>
                <w:sz w:val="22"/>
                <w:szCs w:val="22"/>
              </w:rPr>
            </w:pPr>
          </w:p>
          <w:p w14:paraId="1A75862C" w14:textId="65FF927C" w:rsidR="008D7632" w:rsidRPr="000B706D" w:rsidRDefault="008D7632" w:rsidP="008D7632">
            <w:pPr>
              <w:rPr>
                <w:sz w:val="22"/>
                <w:szCs w:val="22"/>
              </w:rPr>
            </w:pPr>
          </w:p>
        </w:tc>
        <w:tc>
          <w:tcPr>
            <w:tcW w:w="2700" w:type="dxa"/>
          </w:tcPr>
          <w:p w14:paraId="4A09D91A" w14:textId="77777777" w:rsidR="008D7632" w:rsidRPr="00BA1FB9" w:rsidRDefault="008D7632" w:rsidP="008D7632">
            <w:pPr>
              <w:rPr>
                <w:sz w:val="22"/>
                <w:szCs w:val="22"/>
                <w:highlight w:val="yellow"/>
              </w:rPr>
            </w:pPr>
          </w:p>
        </w:tc>
      </w:tr>
      <w:tr w:rsidR="008D7632" w:rsidRPr="00BA1FB9" w14:paraId="6420AB7C" w14:textId="77777777" w:rsidTr="00EE54F4">
        <w:tc>
          <w:tcPr>
            <w:tcW w:w="1885" w:type="dxa"/>
          </w:tcPr>
          <w:p w14:paraId="7987F4AF" w14:textId="77777777" w:rsidR="008D7632" w:rsidRDefault="008D7632" w:rsidP="008D7632">
            <w:pPr>
              <w:suppressAutoHyphens/>
              <w:autoSpaceDE w:val="0"/>
              <w:autoSpaceDN w:val="0"/>
              <w:adjustRightInd w:val="0"/>
              <w:jc w:val="center"/>
              <w:rPr>
                <w:sz w:val="22"/>
                <w:szCs w:val="22"/>
              </w:rPr>
            </w:pPr>
            <w:r>
              <w:rPr>
                <w:b/>
                <w:bCs/>
                <w:sz w:val="22"/>
                <w:szCs w:val="22"/>
              </w:rPr>
              <w:t>IDR Process</w:t>
            </w:r>
            <w:r w:rsidRPr="00BA1FB9">
              <w:rPr>
                <w:sz w:val="22"/>
                <w:szCs w:val="22"/>
              </w:rPr>
              <w:t xml:space="preserve"> </w:t>
            </w:r>
          </w:p>
          <w:p w14:paraId="6FC2C413" w14:textId="77777777" w:rsidR="008D7632" w:rsidRDefault="008D7632" w:rsidP="008D7632">
            <w:pPr>
              <w:suppressAutoHyphens/>
              <w:autoSpaceDE w:val="0"/>
              <w:autoSpaceDN w:val="0"/>
              <w:adjustRightInd w:val="0"/>
              <w:jc w:val="center"/>
              <w:rPr>
                <w:sz w:val="22"/>
                <w:szCs w:val="22"/>
              </w:rPr>
            </w:pPr>
          </w:p>
          <w:p w14:paraId="1DE904DD" w14:textId="4A473FC2" w:rsidR="008D7632" w:rsidRPr="001D50B9" w:rsidRDefault="00B9312A" w:rsidP="008D7632">
            <w:pPr>
              <w:suppressAutoHyphens/>
              <w:autoSpaceDE w:val="0"/>
              <w:autoSpaceDN w:val="0"/>
              <w:adjustRightInd w:val="0"/>
              <w:jc w:val="center"/>
              <w:rPr>
                <w:b/>
                <w:bCs/>
                <w:sz w:val="22"/>
                <w:szCs w:val="22"/>
              </w:rPr>
            </w:pPr>
            <w:r>
              <w:rPr>
                <w:b/>
                <w:bCs/>
                <w:sz w:val="22"/>
                <w:szCs w:val="22"/>
              </w:rPr>
              <w:t xml:space="preserve">QPA as  Presumed </w:t>
            </w:r>
            <w:r>
              <w:rPr>
                <w:b/>
                <w:bCs/>
                <w:sz w:val="22"/>
                <w:szCs w:val="22"/>
              </w:rPr>
              <w:lastRenderedPageBreak/>
              <w:t xml:space="preserve">Appropriate </w:t>
            </w:r>
            <w:r w:rsidR="00EE54F4">
              <w:rPr>
                <w:b/>
                <w:bCs/>
                <w:sz w:val="22"/>
                <w:szCs w:val="22"/>
              </w:rPr>
              <w:t xml:space="preserve">Final </w:t>
            </w:r>
            <w:r w:rsidR="008D7632">
              <w:rPr>
                <w:b/>
                <w:bCs/>
                <w:sz w:val="22"/>
                <w:szCs w:val="22"/>
              </w:rPr>
              <w:t>Payment Amount</w:t>
            </w:r>
          </w:p>
          <w:p w14:paraId="0FF6EFE1" w14:textId="77777777" w:rsidR="008D7632" w:rsidRDefault="008D7632" w:rsidP="008D7632">
            <w:pPr>
              <w:suppressAutoHyphens/>
              <w:autoSpaceDE w:val="0"/>
              <w:autoSpaceDN w:val="0"/>
              <w:adjustRightInd w:val="0"/>
              <w:jc w:val="center"/>
              <w:rPr>
                <w:b/>
                <w:bCs/>
                <w:sz w:val="22"/>
                <w:szCs w:val="22"/>
              </w:rPr>
            </w:pPr>
          </w:p>
        </w:tc>
        <w:tc>
          <w:tcPr>
            <w:tcW w:w="7020" w:type="dxa"/>
          </w:tcPr>
          <w:p w14:paraId="344212DF" w14:textId="1DC3456C" w:rsidR="008D7632" w:rsidRDefault="00B9312A" w:rsidP="00B9312A">
            <w:pPr>
              <w:rPr>
                <w:sz w:val="22"/>
                <w:szCs w:val="22"/>
              </w:rPr>
            </w:pPr>
            <w:r w:rsidRPr="00EE54F4">
              <w:rPr>
                <w:sz w:val="22"/>
                <w:szCs w:val="22"/>
              </w:rPr>
              <w:lastRenderedPageBreak/>
              <w:t>The IDR entity must choose one of the offers within 30 days of their selection as the entity.</w:t>
            </w:r>
            <w:r w:rsidRPr="00EE54F4">
              <w:t xml:space="preserve"> </w:t>
            </w:r>
            <w:r w:rsidR="008D7632" w:rsidRPr="00970EE6">
              <w:rPr>
                <w:sz w:val="22"/>
                <w:szCs w:val="22"/>
              </w:rPr>
              <w:t xml:space="preserve">When choosing </w:t>
            </w:r>
            <w:r w:rsidR="00EE54F4">
              <w:rPr>
                <w:sz w:val="22"/>
                <w:szCs w:val="22"/>
              </w:rPr>
              <w:t>between</w:t>
            </w:r>
            <w:r w:rsidR="008D7632">
              <w:rPr>
                <w:sz w:val="22"/>
                <w:szCs w:val="22"/>
              </w:rPr>
              <w:t xml:space="preserve"> the two </w:t>
            </w:r>
            <w:r w:rsidR="008D7632" w:rsidRPr="00970EE6">
              <w:rPr>
                <w:sz w:val="22"/>
                <w:szCs w:val="22"/>
              </w:rPr>
              <w:t>offer</w:t>
            </w:r>
            <w:r w:rsidR="008D7632">
              <w:rPr>
                <w:sz w:val="22"/>
                <w:szCs w:val="22"/>
              </w:rPr>
              <w:t>s</w:t>
            </w:r>
            <w:r w:rsidR="008D7632" w:rsidRPr="00970EE6">
              <w:rPr>
                <w:sz w:val="22"/>
                <w:szCs w:val="22"/>
              </w:rPr>
              <w:t>, the IDR entity must</w:t>
            </w:r>
            <w:r w:rsidR="008D7632">
              <w:rPr>
                <w:sz w:val="22"/>
                <w:szCs w:val="22"/>
              </w:rPr>
              <w:t>:</w:t>
            </w:r>
          </w:p>
          <w:p w14:paraId="1D72B239" w14:textId="211ABD58" w:rsidR="008D7632" w:rsidRPr="00414A07" w:rsidRDefault="00EE54F4" w:rsidP="00A0124D">
            <w:pPr>
              <w:pStyle w:val="ListParagraph"/>
              <w:numPr>
                <w:ilvl w:val="0"/>
                <w:numId w:val="7"/>
              </w:numPr>
              <w:spacing w:after="0" w:line="240" w:lineRule="auto"/>
              <w:ind w:left="246" w:hanging="246"/>
              <w:rPr>
                <w:rFonts w:ascii="Garamond" w:hAnsi="Garamond"/>
              </w:rPr>
            </w:pPr>
            <w:r>
              <w:rPr>
                <w:rFonts w:ascii="Garamond" w:hAnsi="Garamond"/>
              </w:rPr>
              <w:t>S</w:t>
            </w:r>
            <w:r w:rsidR="008D7632" w:rsidRPr="00414A07">
              <w:rPr>
                <w:rFonts w:ascii="Garamond" w:hAnsi="Garamond"/>
              </w:rPr>
              <w:t>tart with the presumption that the QPA is the appropriate out-of-network rate for the</w:t>
            </w:r>
            <w:r>
              <w:rPr>
                <w:rFonts w:ascii="Garamond" w:hAnsi="Garamond"/>
              </w:rPr>
              <w:t xml:space="preserve"> item</w:t>
            </w:r>
            <w:r w:rsidR="008D7632" w:rsidRPr="00414A07">
              <w:rPr>
                <w:rFonts w:ascii="Garamond" w:hAnsi="Garamond"/>
              </w:rPr>
              <w:t xml:space="preserve"> or service</w:t>
            </w:r>
            <w:r w:rsidR="008D7632">
              <w:rPr>
                <w:rFonts w:ascii="Garamond" w:hAnsi="Garamond"/>
              </w:rPr>
              <w:t>.</w:t>
            </w:r>
            <w:r w:rsidR="008D7632" w:rsidRPr="00414A07">
              <w:rPr>
                <w:rFonts w:ascii="Garamond" w:hAnsi="Garamond"/>
              </w:rPr>
              <w:t xml:space="preserve"> </w:t>
            </w:r>
          </w:p>
          <w:p w14:paraId="03752383" w14:textId="773D7A49" w:rsidR="008D7632" w:rsidRDefault="00EE54F4" w:rsidP="00A0124D">
            <w:pPr>
              <w:pStyle w:val="ListParagraph"/>
              <w:numPr>
                <w:ilvl w:val="0"/>
                <w:numId w:val="7"/>
              </w:numPr>
              <w:spacing w:after="0" w:line="240" w:lineRule="auto"/>
              <w:ind w:left="246" w:hanging="246"/>
              <w:rPr>
                <w:rFonts w:ascii="Garamond" w:hAnsi="Garamond"/>
              </w:rPr>
            </w:pPr>
            <w:r>
              <w:rPr>
                <w:rFonts w:ascii="Garamond" w:hAnsi="Garamond"/>
              </w:rPr>
              <w:lastRenderedPageBreak/>
              <w:t>C</w:t>
            </w:r>
            <w:r w:rsidR="008D7632" w:rsidRPr="00414A07">
              <w:rPr>
                <w:rFonts w:ascii="Garamond" w:hAnsi="Garamond"/>
              </w:rPr>
              <w:t xml:space="preserve">onsider the additional relevant information submitted by either party </w:t>
            </w:r>
            <w:r>
              <w:rPr>
                <w:rFonts w:ascii="Garamond" w:hAnsi="Garamond"/>
              </w:rPr>
              <w:t xml:space="preserve">only </w:t>
            </w:r>
            <w:r w:rsidR="008D7632" w:rsidRPr="00414A07">
              <w:rPr>
                <w:rFonts w:ascii="Garamond" w:hAnsi="Garamond"/>
              </w:rPr>
              <w:t xml:space="preserve">if that information is </w:t>
            </w:r>
            <w:r>
              <w:rPr>
                <w:rFonts w:ascii="Garamond" w:hAnsi="Garamond"/>
              </w:rPr>
              <w:t>“</w:t>
            </w:r>
            <w:r w:rsidR="008D7632" w:rsidRPr="00414A07">
              <w:rPr>
                <w:rFonts w:ascii="Garamond" w:hAnsi="Garamond"/>
              </w:rPr>
              <w:t>credible</w:t>
            </w:r>
            <w:r>
              <w:rPr>
                <w:rFonts w:ascii="Garamond" w:hAnsi="Garamond"/>
              </w:rPr>
              <w:t>”</w:t>
            </w:r>
            <w:r w:rsidR="008D7632" w:rsidRPr="00414A07">
              <w:rPr>
                <w:rFonts w:ascii="Garamond" w:hAnsi="Garamond"/>
              </w:rPr>
              <w:t xml:space="preserve"> and relates to the offer.</w:t>
            </w:r>
          </w:p>
          <w:p w14:paraId="218BE061" w14:textId="19B10CFD" w:rsidR="008D7632" w:rsidRPr="003A68EE" w:rsidRDefault="00EE54F4" w:rsidP="00A0124D">
            <w:pPr>
              <w:pStyle w:val="ListParagraph"/>
              <w:numPr>
                <w:ilvl w:val="1"/>
                <w:numId w:val="7"/>
              </w:numPr>
              <w:spacing w:after="0" w:line="240" w:lineRule="auto"/>
              <w:ind w:left="606"/>
              <w:rPr>
                <w:rFonts w:ascii="Garamond" w:hAnsi="Garamond"/>
              </w:rPr>
            </w:pPr>
            <w:r>
              <w:rPr>
                <w:rFonts w:ascii="Garamond" w:hAnsi="Garamond"/>
              </w:rPr>
              <w:t xml:space="preserve">The rule specifies that </w:t>
            </w:r>
            <w:r w:rsidR="00B9312A">
              <w:rPr>
                <w:rFonts w:ascii="Garamond" w:hAnsi="Garamond"/>
              </w:rPr>
              <w:t>t</w:t>
            </w:r>
            <w:r>
              <w:rPr>
                <w:rFonts w:ascii="Garamond" w:hAnsi="Garamond"/>
              </w:rPr>
              <w:t>he i</w:t>
            </w:r>
            <w:r w:rsidR="008D7632">
              <w:rPr>
                <w:rFonts w:ascii="Garamond" w:hAnsi="Garamond"/>
              </w:rPr>
              <w:t xml:space="preserve">nformation </w:t>
            </w:r>
            <w:r>
              <w:rPr>
                <w:rFonts w:ascii="Garamond" w:hAnsi="Garamond"/>
              </w:rPr>
              <w:t>is credible if it</w:t>
            </w:r>
            <w:r w:rsidR="008D7632">
              <w:rPr>
                <w:rFonts w:ascii="Garamond" w:hAnsi="Garamond"/>
              </w:rPr>
              <w:t xml:space="preserve"> is worthy of belief and is trustworthy based on critical analysis. </w:t>
            </w:r>
          </w:p>
          <w:p w14:paraId="0D7AF9A1" w14:textId="09360742" w:rsidR="008D7632" w:rsidRDefault="008D7632" w:rsidP="00A0124D">
            <w:pPr>
              <w:pStyle w:val="ListParagraph"/>
              <w:numPr>
                <w:ilvl w:val="0"/>
                <w:numId w:val="7"/>
              </w:numPr>
              <w:spacing w:after="0" w:line="240" w:lineRule="auto"/>
              <w:ind w:left="246" w:hanging="246"/>
              <w:rPr>
                <w:rFonts w:ascii="Garamond" w:hAnsi="Garamond"/>
              </w:rPr>
            </w:pPr>
            <w:r>
              <w:rPr>
                <w:rFonts w:ascii="Garamond" w:hAnsi="Garamond"/>
              </w:rPr>
              <w:t xml:space="preserve">Select the offer that is closest to the QPA, unless the credible information submitted by one of the parties demonstrates that the QPA is materially different from the appropriate out-of-network rate. </w:t>
            </w:r>
          </w:p>
          <w:p w14:paraId="157D3A4A" w14:textId="15556EE3" w:rsidR="008D7632" w:rsidRDefault="00EE54F4" w:rsidP="00A0124D">
            <w:pPr>
              <w:pStyle w:val="ListParagraph"/>
              <w:numPr>
                <w:ilvl w:val="1"/>
                <w:numId w:val="7"/>
              </w:numPr>
              <w:spacing w:after="0" w:line="240" w:lineRule="auto"/>
              <w:ind w:left="606"/>
              <w:rPr>
                <w:rFonts w:ascii="Garamond" w:hAnsi="Garamond"/>
              </w:rPr>
            </w:pPr>
            <w:r>
              <w:rPr>
                <w:rFonts w:ascii="Garamond" w:hAnsi="Garamond"/>
              </w:rPr>
              <w:t xml:space="preserve">The rule specifies that </w:t>
            </w:r>
            <w:r w:rsidR="006F1A4B">
              <w:rPr>
                <w:rFonts w:ascii="Garamond" w:hAnsi="Garamond"/>
              </w:rPr>
              <w:t xml:space="preserve">the QPA would be </w:t>
            </w:r>
            <w:r w:rsidR="008D7632">
              <w:rPr>
                <w:rFonts w:ascii="Garamond" w:hAnsi="Garamond"/>
              </w:rPr>
              <w:t>“materially different”</w:t>
            </w:r>
            <w:r>
              <w:rPr>
                <w:rFonts w:ascii="Garamond" w:hAnsi="Garamond"/>
              </w:rPr>
              <w:t xml:space="preserve"> </w:t>
            </w:r>
            <w:r w:rsidR="006F1A4B">
              <w:rPr>
                <w:rFonts w:ascii="Garamond" w:hAnsi="Garamond"/>
              </w:rPr>
              <w:t>if there</w:t>
            </w:r>
            <w:r w:rsidR="008D7632">
              <w:rPr>
                <w:rFonts w:ascii="Garamond" w:hAnsi="Garamond"/>
              </w:rPr>
              <w:t xml:space="preserve"> is a substantial likelihood that someone with the IDR entity’s qualifications would consider the information</w:t>
            </w:r>
            <w:r w:rsidR="006F1A4B">
              <w:rPr>
                <w:rFonts w:ascii="Garamond" w:hAnsi="Garamond"/>
              </w:rPr>
              <w:t xml:space="preserve"> provided </w:t>
            </w:r>
            <w:r w:rsidR="00AC34B4">
              <w:rPr>
                <w:rFonts w:ascii="Garamond" w:hAnsi="Garamond"/>
              </w:rPr>
              <w:t>a</w:t>
            </w:r>
            <w:r w:rsidR="006F1A4B">
              <w:rPr>
                <w:rFonts w:ascii="Garamond" w:hAnsi="Garamond"/>
              </w:rPr>
              <w:t>s</w:t>
            </w:r>
            <w:r w:rsidR="008D7632">
              <w:rPr>
                <w:rFonts w:ascii="Garamond" w:hAnsi="Garamond"/>
              </w:rPr>
              <w:t xml:space="preserve"> important in determining the rate and shows that the QPA is not the appropriate rate. </w:t>
            </w:r>
          </w:p>
          <w:p w14:paraId="0F5D3E84" w14:textId="4F82BDE0" w:rsidR="00EE54F4" w:rsidRPr="00EE54F4" w:rsidRDefault="00EE54F4" w:rsidP="00A0124D">
            <w:pPr>
              <w:pStyle w:val="ListParagraph"/>
              <w:numPr>
                <w:ilvl w:val="0"/>
                <w:numId w:val="7"/>
              </w:numPr>
              <w:spacing w:after="0"/>
              <w:ind w:left="256" w:hanging="270"/>
            </w:pPr>
            <w:r w:rsidRPr="00EE54F4">
              <w:rPr>
                <w:rFonts w:ascii="Garamond" w:hAnsi="Garamond"/>
              </w:rPr>
              <w:t xml:space="preserve">When </w:t>
            </w:r>
            <w:r w:rsidR="008D7632" w:rsidRPr="00EE54F4">
              <w:rPr>
                <w:rFonts w:ascii="Garamond" w:hAnsi="Garamond"/>
              </w:rPr>
              <w:t>the IDR entity determines a material difference between the QPA and the appropriate rate</w:t>
            </w:r>
            <w:r w:rsidRPr="00EE54F4">
              <w:rPr>
                <w:rFonts w:ascii="Garamond" w:hAnsi="Garamond"/>
              </w:rPr>
              <w:t xml:space="preserve"> or when </w:t>
            </w:r>
            <w:r w:rsidR="008D7632" w:rsidRPr="00EE54F4">
              <w:rPr>
                <w:rFonts w:ascii="Garamond" w:hAnsi="Garamond"/>
              </w:rPr>
              <w:t>the</w:t>
            </w:r>
            <w:r w:rsidRPr="00EE54F4">
              <w:rPr>
                <w:rFonts w:ascii="Garamond" w:hAnsi="Garamond"/>
              </w:rPr>
              <w:t xml:space="preserve"> two </w:t>
            </w:r>
            <w:r w:rsidR="008D7632" w:rsidRPr="00EE54F4">
              <w:rPr>
                <w:rFonts w:ascii="Garamond" w:hAnsi="Garamond"/>
              </w:rPr>
              <w:t>offers are equally distant from the QPA but in opposing directions, the offer that best represents the value of the items or services</w:t>
            </w:r>
            <w:r w:rsidRPr="00EE54F4">
              <w:rPr>
                <w:rFonts w:ascii="Garamond" w:hAnsi="Garamond"/>
              </w:rPr>
              <w:t xml:space="preserve"> must be selected</w:t>
            </w:r>
            <w:r w:rsidR="008D7632" w:rsidRPr="00EE54F4">
              <w:rPr>
                <w:rFonts w:ascii="Garamond" w:hAnsi="Garamond"/>
              </w:rPr>
              <w:t>.</w:t>
            </w:r>
            <w:r w:rsidRPr="00EE54F4">
              <w:rPr>
                <w:rFonts w:ascii="Garamond" w:hAnsi="Garamond"/>
              </w:rPr>
              <w:t xml:space="preserve">  </w:t>
            </w:r>
          </w:p>
        </w:tc>
        <w:tc>
          <w:tcPr>
            <w:tcW w:w="2970" w:type="dxa"/>
          </w:tcPr>
          <w:p w14:paraId="07341524" w14:textId="77777777" w:rsidR="008D7632" w:rsidRPr="00BA1FB9" w:rsidDel="00E52C39" w:rsidRDefault="008D7632" w:rsidP="008D7632">
            <w:pPr>
              <w:rPr>
                <w:sz w:val="22"/>
                <w:szCs w:val="22"/>
                <w:highlight w:val="yellow"/>
              </w:rPr>
            </w:pPr>
          </w:p>
        </w:tc>
        <w:tc>
          <w:tcPr>
            <w:tcW w:w="2700" w:type="dxa"/>
          </w:tcPr>
          <w:p w14:paraId="741BA89E" w14:textId="77777777" w:rsidR="008D7632" w:rsidRPr="00BA1FB9" w:rsidRDefault="008D7632" w:rsidP="008D7632">
            <w:pPr>
              <w:rPr>
                <w:sz w:val="22"/>
                <w:szCs w:val="22"/>
                <w:highlight w:val="yellow"/>
              </w:rPr>
            </w:pPr>
          </w:p>
        </w:tc>
      </w:tr>
      <w:tr w:rsidR="008D7632" w:rsidRPr="00BA1FB9" w14:paraId="2955CD7B" w14:textId="77777777" w:rsidTr="00975A0B">
        <w:trPr>
          <w:trHeight w:val="800"/>
        </w:trPr>
        <w:tc>
          <w:tcPr>
            <w:tcW w:w="1885" w:type="dxa"/>
          </w:tcPr>
          <w:p w14:paraId="6DF1A01B" w14:textId="77777777" w:rsidR="008D7632" w:rsidRDefault="008D7632" w:rsidP="008D7632">
            <w:pPr>
              <w:suppressAutoHyphens/>
              <w:autoSpaceDE w:val="0"/>
              <w:autoSpaceDN w:val="0"/>
              <w:adjustRightInd w:val="0"/>
              <w:jc w:val="center"/>
              <w:rPr>
                <w:sz w:val="22"/>
                <w:szCs w:val="22"/>
              </w:rPr>
            </w:pPr>
            <w:r>
              <w:rPr>
                <w:b/>
                <w:bCs/>
                <w:sz w:val="22"/>
                <w:szCs w:val="22"/>
              </w:rPr>
              <w:t>IDR Process</w:t>
            </w:r>
            <w:r w:rsidRPr="00BA1FB9">
              <w:rPr>
                <w:sz w:val="22"/>
                <w:szCs w:val="22"/>
              </w:rPr>
              <w:t xml:space="preserve"> </w:t>
            </w:r>
          </w:p>
          <w:p w14:paraId="2DE9007E" w14:textId="77777777" w:rsidR="008D7632" w:rsidRDefault="008D7632" w:rsidP="008D7632">
            <w:pPr>
              <w:suppressAutoHyphens/>
              <w:autoSpaceDE w:val="0"/>
              <w:autoSpaceDN w:val="0"/>
              <w:adjustRightInd w:val="0"/>
              <w:jc w:val="center"/>
            </w:pPr>
          </w:p>
          <w:p w14:paraId="1A1ABA25" w14:textId="3B70DA3E" w:rsidR="008D7632" w:rsidRPr="00AC34B4" w:rsidRDefault="008D7632" w:rsidP="008D7632">
            <w:pPr>
              <w:suppressAutoHyphens/>
              <w:autoSpaceDE w:val="0"/>
              <w:autoSpaceDN w:val="0"/>
              <w:adjustRightInd w:val="0"/>
              <w:jc w:val="center"/>
              <w:rPr>
                <w:b/>
                <w:bCs/>
                <w:sz w:val="22"/>
                <w:szCs w:val="22"/>
              </w:rPr>
            </w:pPr>
            <w:r w:rsidRPr="00AC34B4">
              <w:rPr>
                <w:b/>
                <w:bCs/>
                <w:sz w:val="22"/>
                <w:szCs w:val="22"/>
              </w:rPr>
              <w:t xml:space="preserve">Consideration of Additional Factors </w:t>
            </w:r>
          </w:p>
        </w:tc>
        <w:tc>
          <w:tcPr>
            <w:tcW w:w="7020" w:type="dxa"/>
          </w:tcPr>
          <w:p w14:paraId="06E18EC9" w14:textId="7BDB68FD" w:rsidR="008D7632" w:rsidRPr="001F5F2F" w:rsidRDefault="00B9312A" w:rsidP="00A0124D">
            <w:pPr>
              <w:rPr>
                <w:sz w:val="22"/>
                <w:szCs w:val="22"/>
              </w:rPr>
            </w:pPr>
            <w:r>
              <w:rPr>
                <w:sz w:val="22"/>
                <w:szCs w:val="22"/>
              </w:rPr>
              <w:t xml:space="preserve">The rule specifies when </w:t>
            </w:r>
            <w:r w:rsidR="008D7632">
              <w:rPr>
                <w:sz w:val="22"/>
                <w:szCs w:val="22"/>
              </w:rPr>
              <w:t xml:space="preserve">credible </w:t>
            </w:r>
            <w:r w:rsidR="008D7632" w:rsidRPr="001F5F2F">
              <w:rPr>
                <w:sz w:val="22"/>
                <w:szCs w:val="22"/>
              </w:rPr>
              <w:t xml:space="preserve">information related to any of the additional </w:t>
            </w:r>
            <w:r w:rsidR="00AC34B4">
              <w:rPr>
                <w:sz w:val="22"/>
                <w:szCs w:val="22"/>
              </w:rPr>
              <w:t xml:space="preserve">arbitration </w:t>
            </w:r>
            <w:r w:rsidR="008D7632" w:rsidRPr="001F5F2F">
              <w:rPr>
                <w:sz w:val="22"/>
                <w:szCs w:val="22"/>
              </w:rPr>
              <w:t xml:space="preserve">factors </w:t>
            </w:r>
            <w:r w:rsidR="00AC34B4">
              <w:rPr>
                <w:sz w:val="22"/>
                <w:szCs w:val="22"/>
              </w:rPr>
              <w:t xml:space="preserve">required to be considered under </w:t>
            </w:r>
            <w:r w:rsidR="008D7632" w:rsidRPr="001F5F2F">
              <w:rPr>
                <w:sz w:val="22"/>
                <w:szCs w:val="22"/>
              </w:rPr>
              <w:t>the act</w:t>
            </w:r>
            <w:r>
              <w:rPr>
                <w:rStyle w:val="FootnoteReference"/>
                <w:sz w:val="22"/>
                <w:szCs w:val="22"/>
              </w:rPr>
              <w:footnoteReference w:id="2"/>
            </w:r>
            <w:r w:rsidR="008D7632">
              <w:rPr>
                <w:sz w:val="22"/>
                <w:szCs w:val="22"/>
              </w:rPr>
              <w:t xml:space="preserve"> </w:t>
            </w:r>
            <w:r w:rsidR="008D7632" w:rsidRPr="001F5F2F">
              <w:rPr>
                <w:sz w:val="22"/>
                <w:szCs w:val="22"/>
              </w:rPr>
              <w:t>may or may not demonstrate that the QPA is materially different from the appropriate out of-network rate</w:t>
            </w:r>
            <w:r>
              <w:rPr>
                <w:sz w:val="22"/>
                <w:szCs w:val="22"/>
              </w:rPr>
              <w:t xml:space="preserve">. </w:t>
            </w:r>
          </w:p>
          <w:p w14:paraId="53EA3B34" w14:textId="7B525864" w:rsidR="008D7632" w:rsidRPr="009855B9" w:rsidRDefault="008D7632" w:rsidP="00A0124D">
            <w:pPr>
              <w:pStyle w:val="ListParagraph"/>
              <w:numPr>
                <w:ilvl w:val="0"/>
                <w:numId w:val="10"/>
              </w:numPr>
              <w:spacing w:after="0" w:line="240" w:lineRule="auto"/>
              <w:ind w:left="246" w:hanging="246"/>
              <w:rPr>
                <w:rFonts w:ascii="Garamond" w:hAnsi="Garamond"/>
              </w:rPr>
            </w:pPr>
            <w:r w:rsidRPr="009855B9">
              <w:rPr>
                <w:rFonts w:ascii="Garamond" w:hAnsi="Garamond"/>
              </w:rPr>
              <w:t xml:space="preserve">Level of training, experience, and quality and outcome measurements. </w:t>
            </w:r>
          </w:p>
          <w:p w14:paraId="56248DDD" w14:textId="6CE1BDC2" w:rsidR="008D7632" w:rsidRPr="009855B9" w:rsidRDefault="00AC34B4" w:rsidP="00A0124D">
            <w:pPr>
              <w:pStyle w:val="ListParagraph"/>
              <w:numPr>
                <w:ilvl w:val="1"/>
                <w:numId w:val="9"/>
              </w:numPr>
              <w:spacing w:after="0" w:line="240" w:lineRule="auto"/>
              <w:ind w:left="606"/>
              <w:rPr>
                <w:rFonts w:ascii="Garamond" w:hAnsi="Garamond"/>
              </w:rPr>
            </w:pPr>
            <w:r>
              <w:rPr>
                <w:rFonts w:ascii="Garamond" w:hAnsi="Garamond"/>
              </w:rPr>
              <w:t>According to the rule, a</w:t>
            </w:r>
            <w:r w:rsidR="008D7632" w:rsidRPr="009855B9">
              <w:rPr>
                <w:rFonts w:ascii="Garamond" w:hAnsi="Garamond"/>
              </w:rPr>
              <w:t xml:space="preserve"> higher out-of-network rate than the QPA is not </w:t>
            </w:r>
            <w:r>
              <w:rPr>
                <w:rFonts w:ascii="Garamond" w:hAnsi="Garamond"/>
              </w:rPr>
              <w:t>warranted</w:t>
            </w:r>
            <w:r w:rsidR="008D7632" w:rsidRPr="009855B9">
              <w:rPr>
                <w:rFonts w:ascii="Garamond" w:hAnsi="Garamond"/>
              </w:rPr>
              <w:t xml:space="preserve"> simply based on the</w:t>
            </w:r>
            <w:r>
              <w:rPr>
                <w:rFonts w:ascii="Garamond" w:hAnsi="Garamond"/>
              </w:rPr>
              <w:t xml:space="preserve"> provider’s</w:t>
            </w:r>
            <w:r w:rsidR="008D7632" w:rsidRPr="009855B9">
              <w:rPr>
                <w:rFonts w:ascii="Garamond" w:hAnsi="Garamond"/>
              </w:rPr>
              <w:t xml:space="preserve"> level of experience or training.   </w:t>
            </w:r>
          </w:p>
          <w:p w14:paraId="32522002" w14:textId="2B39B0F7" w:rsidR="00B9312A" w:rsidRDefault="008D7632" w:rsidP="00A0124D">
            <w:pPr>
              <w:pStyle w:val="ListParagraph"/>
              <w:numPr>
                <w:ilvl w:val="1"/>
                <w:numId w:val="9"/>
              </w:numPr>
              <w:spacing w:after="0" w:line="240" w:lineRule="auto"/>
              <w:ind w:left="606"/>
              <w:rPr>
                <w:rFonts w:ascii="Garamond" w:hAnsi="Garamond"/>
              </w:rPr>
            </w:pPr>
            <w:r w:rsidRPr="009855B9">
              <w:rPr>
                <w:rFonts w:ascii="Garamond" w:hAnsi="Garamond"/>
              </w:rPr>
              <w:t>The IDR entity should consider whether to select a higher rate than the QPA when a provider/facility has received quality/outcome-related bonus payments</w:t>
            </w:r>
            <w:r w:rsidR="00AC34B4">
              <w:rPr>
                <w:rFonts w:ascii="Garamond" w:hAnsi="Garamond"/>
              </w:rPr>
              <w:t>.</w:t>
            </w:r>
            <w:r w:rsidRPr="009855B9">
              <w:rPr>
                <w:rFonts w:ascii="Garamond" w:hAnsi="Garamond"/>
              </w:rPr>
              <w:t xml:space="preserve"> </w:t>
            </w:r>
          </w:p>
          <w:p w14:paraId="49BB079F" w14:textId="04085F02" w:rsidR="008D7632" w:rsidRPr="009855B9" w:rsidRDefault="00B9312A" w:rsidP="00A0124D">
            <w:pPr>
              <w:pStyle w:val="ListParagraph"/>
              <w:numPr>
                <w:ilvl w:val="1"/>
                <w:numId w:val="9"/>
              </w:numPr>
              <w:spacing w:after="0" w:line="240" w:lineRule="auto"/>
              <w:ind w:left="606"/>
              <w:rPr>
                <w:rFonts w:ascii="Garamond" w:hAnsi="Garamond"/>
              </w:rPr>
            </w:pPr>
            <w:r>
              <w:rPr>
                <w:rFonts w:ascii="Garamond" w:hAnsi="Garamond"/>
              </w:rPr>
              <w:t xml:space="preserve">The entity should consider whether to select a lower rate than the QPA </w:t>
            </w:r>
            <w:r w:rsidR="008D7632" w:rsidRPr="009855B9">
              <w:rPr>
                <w:rFonts w:ascii="Garamond" w:hAnsi="Garamond"/>
              </w:rPr>
              <w:t xml:space="preserve">if the provider/facility has been subject to a quality/outcome-related penalty payment. </w:t>
            </w:r>
          </w:p>
          <w:p w14:paraId="07B68EC4" w14:textId="5F46C660" w:rsidR="00B9312A" w:rsidRDefault="008D7632" w:rsidP="00A0124D">
            <w:pPr>
              <w:pStyle w:val="ListParagraph"/>
              <w:numPr>
                <w:ilvl w:val="0"/>
                <w:numId w:val="8"/>
              </w:numPr>
              <w:spacing w:after="0" w:line="240" w:lineRule="auto"/>
              <w:ind w:left="246" w:hanging="270"/>
              <w:rPr>
                <w:rFonts w:ascii="Garamond" w:hAnsi="Garamond"/>
              </w:rPr>
            </w:pPr>
            <w:r w:rsidRPr="009855B9">
              <w:rPr>
                <w:rFonts w:ascii="Garamond" w:hAnsi="Garamond"/>
              </w:rPr>
              <w:t>Market share</w:t>
            </w:r>
            <w:r w:rsidR="00AC34B4">
              <w:rPr>
                <w:rFonts w:ascii="Garamond" w:hAnsi="Garamond"/>
              </w:rPr>
              <w:t>.</w:t>
            </w:r>
          </w:p>
          <w:p w14:paraId="05FEFBAA" w14:textId="60EE9333" w:rsidR="008D7632" w:rsidRPr="00B9312A" w:rsidRDefault="008D7632" w:rsidP="00A0124D">
            <w:pPr>
              <w:pStyle w:val="ListParagraph"/>
              <w:numPr>
                <w:ilvl w:val="0"/>
                <w:numId w:val="34"/>
              </w:numPr>
              <w:spacing w:after="0"/>
              <w:ind w:left="616"/>
              <w:rPr>
                <w:rFonts w:ascii="Garamond" w:hAnsi="Garamond"/>
              </w:rPr>
            </w:pPr>
            <w:r w:rsidRPr="00B9312A">
              <w:rPr>
                <w:rFonts w:ascii="Garamond" w:hAnsi="Garamond"/>
              </w:rPr>
              <w:t>IDR entities should take into account the influence that</w:t>
            </w:r>
            <w:r w:rsidR="00B9312A" w:rsidRPr="00B9312A">
              <w:rPr>
                <w:rFonts w:ascii="Garamond" w:hAnsi="Garamond"/>
              </w:rPr>
              <w:t xml:space="preserve"> </w:t>
            </w:r>
            <w:r w:rsidRPr="00B9312A">
              <w:rPr>
                <w:rFonts w:ascii="Garamond" w:hAnsi="Garamond"/>
              </w:rPr>
              <w:t>market dominance of a provider or a plan can have on reimbursement rates</w:t>
            </w:r>
            <w:r w:rsidR="00B9312A">
              <w:rPr>
                <w:rFonts w:ascii="Garamond" w:hAnsi="Garamond"/>
              </w:rPr>
              <w:t>.</w:t>
            </w:r>
          </w:p>
          <w:p w14:paraId="2EA030A3" w14:textId="39817AB7" w:rsidR="008D7632" w:rsidRPr="00B9312A" w:rsidRDefault="00B9312A" w:rsidP="00A0124D">
            <w:pPr>
              <w:pStyle w:val="ListParagraph"/>
              <w:numPr>
                <w:ilvl w:val="1"/>
                <w:numId w:val="35"/>
              </w:numPr>
              <w:spacing w:after="0"/>
              <w:ind w:left="796" w:hanging="180"/>
              <w:rPr>
                <w:rFonts w:ascii="Garamond" w:hAnsi="Garamond"/>
              </w:rPr>
            </w:pPr>
            <w:r>
              <w:rPr>
                <w:rFonts w:ascii="Garamond" w:hAnsi="Garamond"/>
              </w:rPr>
              <w:lastRenderedPageBreak/>
              <w:t xml:space="preserve">A </w:t>
            </w:r>
            <w:r w:rsidR="008D7632" w:rsidRPr="00B9312A">
              <w:rPr>
                <w:rFonts w:ascii="Garamond" w:hAnsi="Garamond"/>
              </w:rPr>
              <w:t xml:space="preserve">plan with a large market share may drive down rates, in which case an out-of-network rate higher than the QPA may be warranted. </w:t>
            </w:r>
          </w:p>
          <w:p w14:paraId="52BCE692" w14:textId="374D8357" w:rsidR="008D7632" w:rsidRPr="00B9312A" w:rsidRDefault="008D7632" w:rsidP="00A0124D">
            <w:pPr>
              <w:pStyle w:val="ListParagraph"/>
              <w:numPr>
                <w:ilvl w:val="1"/>
                <w:numId w:val="35"/>
              </w:numPr>
              <w:spacing w:after="0"/>
              <w:ind w:left="796" w:hanging="180"/>
              <w:rPr>
                <w:rFonts w:ascii="Garamond" w:hAnsi="Garamond"/>
              </w:rPr>
            </w:pPr>
            <w:r w:rsidRPr="00B9312A">
              <w:rPr>
                <w:rFonts w:ascii="Garamond" w:hAnsi="Garamond"/>
              </w:rPr>
              <w:t>Providers with a large market share may drive up rates and a lower out-of-network rate than the QPA might be warranted</w:t>
            </w:r>
            <w:r w:rsidR="00B9312A">
              <w:rPr>
                <w:rFonts w:ascii="Garamond" w:hAnsi="Garamond"/>
              </w:rPr>
              <w:t>.</w:t>
            </w:r>
            <w:r w:rsidRPr="00B9312A">
              <w:rPr>
                <w:rFonts w:ascii="Garamond" w:hAnsi="Garamond"/>
              </w:rPr>
              <w:t xml:space="preserve"> </w:t>
            </w:r>
          </w:p>
          <w:p w14:paraId="1E98575F" w14:textId="39353820" w:rsidR="008D7632" w:rsidRPr="0084430A" w:rsidRDefault="008D7632" w:rsidP="00A0124D">
            <w:pPr>
              <w:pStyle w:val="ListParagraph"/>
              <w:numPr>
                <w:ilvl w:val="0"/>
                <w:numId w:val="36"/>
              </w:numPr>
              <w:spacing w:after="0"/>
              <w:ind w:left="256" w:hanging="256"/>
              <w:rPr>
                <w:rFonts w:ascii="Garamond" w:hAnsi="Garamond"/>
              </w:rPr>
            </w:pPr>
            <w:r w:rsidRPr="0084430A">
              <w:rPr>
                <w:rFonts w:ascii="Garamond" w:hAnsi="Garamond"/>
              </w:rPr>
              <w:t>Patient acuity or complexity of furnishing item or service</w:t>
            </w:r>
            <w:r w:rsidR="00AC34B4">
              <w:rPr>
                <w:rFonts w:ascii="Garamond" w:hAnsi="Garamond"/>
              </w:rPr>
              <w:t>.</w:t>
            </w:r>
            <w:r w:rsidRPr="0084430A">
              <w:rPr>
                <w:rFonts w:ascii="Garamond" w:hAnsi="Garamond"/>
              </w:rPr>
              <w:t xml:space="preserve"> </w:t>
            </w:r>
          </w:p>
          <w:p w14:paraId="3BF57DED" w14:textId="6AD93463" w:rsidR="008D7632" w:rsidRPr="0084430A" w:rsidRDefault="0084430A" w:rsidP="00A0124D">
            <w:pPr>
              <w:pStyle w:val="ListParagraph"/>
              <w:numPr>
                <w:ilvl w:val="1"/>
                <w:numId w:val="36"/>
              </w:numPr>
              <w:spacing w:after="0"/>
              <w:ind w:left="616"/>
              <w:rPr>
                <w:rFonts w:ascii="Garamond" w:hAnsi="Garamond"/>
              </w:rPr>
            </w:pPr>
            <w:r>
              <w:rPr>
                <w:rFonts w:ascii="Garamond" w:hAnsi="Garamond"/>
              </w:rPr>
              <w:t>O</w:t>
            </w:r>
            <w:r w:rsidRPr="0084430A">
              <w:rPr>
                <w:rFonts w:ascii="Garamond" w:hAnsi="Garamond"/>
              </w:rPr>
              <w:t>nly in rare instances would the QPA not</w:t>
            </w:r>
            <w:r w:rsidRPr="00B9312A">
              <w:t xml:space="preserve"> </w:t>
            </w:r>
            <w:r w:rsidRPr="0084430A">
              <w:rPr>
                <w:rFonts w:ascii="Garamond" w:hAnsi="Garamond"/>
              </w:rPr>
              <w:t xml:space="preserve">adequately account for </w:t>
            </w:r>
            <w:r>
              <w:rPr>
                <w:rFonts w:ascii="Garamond" w:hAnsi="Garamond"/>
              </w:rPr>
              <w:t xml:space="preserve">patient </w:t>
            </w:r>
            <w:r w:rsidRPr="0084430A">
              <w:rPr>
                <w:rFonts w:ascii="Garamond" w:hAnsi="Garamond"/>
              </w:rPr>
              <w:t xml:space="preserve">acuity or </w:t>
            </w:r>
            <w:r>
              <w:rPr>
                <w:rFonts w:ascii="Garamond" w:hAnsi="Garamond"/>
              </w:rPr>
              <w:t xml:space="preserve">service </w:t>
            </w:r>
            <w:r w:rsidRPr="0084430A">
              <w:rPr>
                <w:rFonts w:ascii="Garamond" w:hAnsi="Garamond"/>
              </w:rPr>
              <w:t xml:space="preserve">complexity </w:t>
            </w:r>
            <w:r>
              <w:rPr>
                <w:rFonts w:ascii="Garamond" w:hAnsi="Garamond"/>
              </w:rPr>
              <w:t>b</w:t>
            </w:r>
            <w:r w:rsidR="008D7632" w:rsidRPr="0084430A">
              <w:rPr>
                <w:rFonts w:ascii="Garamond" w:hAnsi="Garamond"/>
              </w:rPr>
              <w:t xml:space="preserve">ecause service codes and modifiers </w:t>
            </w:r>
            <w:r>
              <w:rPr>
                <w:rFonts w:ascii="Garamond" w:hAnsi="Garamond"/>
              </w:rPr>
              <w:t xml:space="preserve">that </w:t>
            </w:r>
            <w:r w:rsidR="008D7632" w:rsidRPr="0084430A">
              <w:rPr>
                <w:rFonts w:ascii="Garamond" w:hAnsi="Garamond"/>
              </w:rPr>
              <w:t xml:space="preserve">reflect patient acuity and </w:t>
            </w:r>
            <w:r w:rsidRPr="0084430A">
              <w:rPr>
                <w:rFonts w:ascii="Garamond" w:hAnsi="Garamond"/>
              </w:rPr>
              <w:t xml:space="preserve">service </w:t>
            </w:r>
            <w:r w:rsidR="008D7632" w:rsidRPr="0084430A">
              <w:rPr>
                <w:rFonts w:ascii="Garamond" w:hAnsi="Garamond"/>
              </w:rPr>
              <w:t>complexity</w:t>
            </w:r>
            <w:r>
              <w:rPr>
                <w:rFonts w:ascii="Garamond" w:hAnsi="Garamond"/>
              </w:rPr>
              <w:t xml:space="preserve"> were incorporated into the calculation of the QPA. Exceptions include</w:t>
            </w:r>
            <w:r w:rsidR="008D7632" w:rsidRPr="0084430A">
              <w:rPr>
                <w:rFonts w:ascii="Garamond" w:hAnsi="Garamond"/>
              </w:rPr>
              <w:t xml:space="preserve">: </w:t>
            </w:r>
          </w:p>
          <w:p w14:paraId="17A6B103" w14:textId="7A9D9A41" w:rsidR="008D7632" w:rsidRPr="009855B9" w:rsidRDefault="0084430A" w:rsidP="00A0124D">
            <w:pPr>
              <w:pStyle w:val="ListParagraph"/>
              <w:numPr>
                <w:ilvl w:val="2"/>
                <w:numId w:val="11"/>
              </w:numPr>
              <w:spacing w:after="0" w:line="240" w:lineRule="auto"/>
              <w:ind w:left="966"/>
              <w:rPr>
                <w:rFonts w:ascii="Garamond" w:hAnsi="Garamond"/>
              </w:rPr>
            </w:pPr>
            <w:r>
              <w:rPr>
                <w:rFonts w:ascii="Garamond" w:hAnsi="Garamond"/>
              </w:rPr>
              <w:t xml:space="preserve">When </w:t>
            </w:r>
            <w:r w:rsidR="008D7632">
              <w:rPr>
                <w:rFonts w:ascii="Garamond" w:hAnsi="Garamond"/>
              </w:rPr>
              <w:t>the complexity of the case requires time or intensity of care that exceeds what is typical for that service code</w:t>
            </w:r>
            <w:r>
              <w:rPr>
                <w:rFonts w:ascii="Garamond" w:hAnsi="Garamond"/>
              </w:rPr>
              <w:t>.</w:t>
            </w:r>
          </w:p>
          <w:p w14:paraId="7B8B52D9" w14:textId="271437CE" w:rsidR="008D7632" w:rsidRDefault="0084430A" w:rsidP="00A0124D">
            <w:pPr>
              <w:pStyle w:val="ListParagraph"/>
              <w:numPr>
                <w:ilvl w:val="2"/>
                <w:numId w:val="11"/>
              </w:numPr>
              <w:spacing w:after="0" w:line="240" w:lineRule="auto"/>
              <w:ind w:left="966"/>
              <w:rPr>
                <w:rFonts w:ascii="Garamond" w:hAnsi="Garamond"/>
              </w:rPr>
            </w:pPr>
            <w:r>
              <w:rPr>
                <w:rFonts w:ascii="Garamond" w:hAnsi="Garamond"/>
              </w:rPr>
              <w:t>When</w:t>
            </w:r>
            <w:r w:rsidR="008D7632" w:rsidRPr="009855B9">
              <w:rPr>
                <w:rFonts w:ascii="Garamond" w:hAnsi="Garamond"/>
              </w:rPr>
              <w:t xml:space="preserve"> a plan applies a QPA that uses a different service code or modifier than those submitted by the provider</w:t>
            </w:r>
            <w:r w:rsidR="0072618B">
              <w:rPr>
                <w:rFonts w:ascii="Garamond" w:hAnsi="Garamond"/>
              </w:rPr>
              <w:t>. In this situation, t</w:t>
            </w:r>
            <w:r w:rsidR="008D7632" w:rsidRPr="009855B9">
              <w:rPr>
                <w:rFonts w:ascii="Garamond" w:hAnsi="Garamond"/>
              </w:rPr>
              <w:t xml:space="preserve">he provider could submit credible information showing that the QPA does not reflect patient acuity or </w:t>
            </w:r>
            <w:r w:rsidR="0072618B">
              <w:rPr>
                <w:rFonts w:ascii="Garamond" w:hAnsi="Garamond"/>
              </w:rPr>
              <w:t>service</w:t>
            </w:r>
            <w:r w:rsidR="008D7632" w:rsidRPr="009855B9">
              <w:rPr>
                <w:rFonts w:ascii="Garamond" w:hAnsi="Garamond"/>
              </w:rPr>
              <w:t xml:space="preserve"> complexity.</w:t>
            </w:r>
          </w:p>
          <w:p w14:paraId="0FCF8D7D" w14:textId="4DADA883" w:rsidR="0084430A" w:rsidRDefault="008D7632" w:rsidP="00A0124D">
            <w:pPr>
              <w:pStyle w:val="ListParagraph"/>
              <w:numPr>
                <w:ilvl w:val="0"/>
                <w:numId w:val="36"/>
              </w:numPr>
              <w:spacing w:after="0"/>
              <w:ind w:left="256" w:hanging="256"/>
              <w:rPr>
                <w:rFonts w:ascii="Garamond" w:hAnsi="Garamond"/>
              </w:rPr>
            </w:pPr>
            <w:r w:rsidRPr="0084430A">
              <w:rPr>
                <w:rFonts w:ascii="Garamond" w:hAnsi="Garamond"/>
              </w:rPr>
              <w:t>Teaching status, case mix, and scope of services of the nonparticipating facility</w:t>
            </w:r>
            <w:r w:rsidR="0072618B">
              <w:rPr>
                <w:rFonts w:ascii="Garamond" w:hAnsi="Garamond"/>
              </w:rPr>
              <w:t>.</w:t>
            </w:r>
          </w:p>
          <w:p w14:paraId="204707D5" w14:textId="0E8293BD" w:rsidR="008D7632" w:rsidRPr="0084430A" w:rsidRDefault="0084430A" w:rsidP="00A0124D">
            <w:pPr>
              <w:pStyle w:val="ListParagraph"/>
              <w:numPr>
                <w:ilvl w:val="1"/>
                <w:numId w:val="36"/>
              </w:numPr>
              <w:spacing w:after="0"/>
              <w:ind w:left="616"/>
              <w:rPr>
                <w:rFonts w:ascii="Garamond" w:hAnsi="Garamond"/>
              </w:rPr>
            </w:pPr>
            <w:r>
              <w:rPr>
                <w:rFonts w:ascii="Garamond" w:hAnsi="Garamond"/>
              </w:rPr>
              <w:t xml:space="preserve">The </w:t>
            </w:r>
            <w:r w:rsidR="008D7632" w:rsidRPr="0084430A">
              <w:rPr>
                <w:rFonts w:ascii="Garamond" w:hAnsi="Garamond"/>
              </w:rPr>
              <w:t xml:space="preserve">characteristic of the teaching status, case mix or scope of services </w:t>
            </w:r>
            <w:r>
              <w:rPr>
                <w:rFonts w:ascii="Garamond" w:hAnsi="Garamond"/>
              </w:rPr>
              <w:t xml:space="preserve">can only be considered if it, in some way, is </w:t>
            </w:r>
            <w:r w:rsidR="008D7632" w:rsidRPr="0084430A">
              <w:rPr>
                <w:rFonts w:ascii="Garamond" w:hAnsi="Garamond"/>
              </w:rPr>
              <w:t>critical to the delivery of the item or service</w:t>
            </w:r>
            <w:r>
              <w:rPr>
                <w:rFonts w:ascii="Garamond" w:hAnsi="Garamond"/>
              </w:rPr>
              <w:t xml:space="preserve"> and </w:t>
            </w:r>
            <w:r w:rsidR="008D7632" w:rsidRPr="0084430A">
              <w:rPr>
                <w:rFonts w:ascii="Garamond" w:hAnsi="Garamond"/>
              </w:rPr>
              <w:t xml:space="preserve">was not accounted for in the QPA. </w:t>
            </w:r>
          </w:p>
          <w:p w14:paraId="63B4DDED" w14:textId="61F3A416" w:rsidR="008D7632" w:rsidRPr="0084430A" w:rsidRDefault="008D7632" w:rsidP="00A0124D">
            <w:pPr>
              <w:pStyle w:val="ListParagraph"/>
              <w:numPr>
                <w:ilvl w:val="0"/>
                <w:numId w:val="37"/>
              </w:numPr>
              <w:spacing w:after="0"/>
              <w:rPr>
                <w:rFonts w:ascii="Garamond" w:hAnsi="Garamond"/>
              </w:rPr>
            </w:pPr>
            <w:r w:rsidRPr="0084430A">
              <w:rPr>
                <w:rFonts w:ascii="Garamond" w:hAnsi="Garamond"/>
              </w:rPr>
              <w:t>For example, the IDR entity could consider the trauma level of a hospital when the dispute involves trauma care that could not be performed at a lower-level hospital, but only to the extent the QPA does not otherwise reflect this factor.</w:t>
            </w:r>
          </w:p>
          <w:p w14:paraId="4FC7AE08" w14:textId="1A2678CB" w:rsidR="0084430A" w:rsidRDefault="008D7632" w:rsidP="00A0124D">
            <w:pPr>
              <w:pStyle w:val="ListParagraph"/>
              <w:numPr>
                <w:ilvl w:val="0"/>
                <w:numId w:val="38"/>
              </w:numPr>
              <w:spacing w:after="0"/>
              <w:ind w:left="256" w:hanging="256"/>
              <w:rPr>
                <w:rFonts w:ascii="Garamond" w:hAnsi="Garamond"/>
              </w:rPr>
            </w:pPr>
            <w:r w:rsidRPr="0084430A">
              <w:rPr>
                <w:rFonts w:ascii="Garamond" w:hAnsi="Garamond"/>
              </w:rPr>
              <w:t>Demonstrations of good faith efforts (or lack thereof) to enter into network agreements</w:t>
            </w:r>
            <w:r w:rsidR="0084430A">
              <w:rPr>
                <w:rFonts w:ascii="Garamond" w:hAnsi="Garamond"/>
              </w:rPr>
              <w:t>,</w:t>
            </w:r>
            <w:r w:rsidRPr="0084430A">
              <w:rPr>
                <w:rFonts w:ascii="Garamond" w:hAnsi="Garamond"/>
              </w:rPr>
              <w:t xml:space="preserve"> and contracted rates between the provider and the plan during the previous </w:t>
            </w:r>
            <w:r w:rsidR="0084430A">
              <w:rPr>
                <w:rFonts w:ascii="Garamond" w:hAnsi="Garamond"/>
              </w:rPr>
              <w:t xml:space="preserve">four </w:t>
            </w:r>
            <w:r w:rsidRPr="0084430A">
              <w:rPr>
                <w:rFonts w:ascii="Garamond" w:hAnsi="Garamond"/>
              </w:rPr>
              <w:t>plan years</w:t>
            </w:r>
            <w:r w:rsidR="0072618B">
              <w:rPr>
                <w:rFonts w:ascii="Garamond" w:hAnsi="Garamond"/>
              </w:rPr>
              <w:t>.</w:t>
            </w:r>
          </w:p>
          <w:p w14:paraId="50E6E35E" w14:textId="51791CA1" w:rsidR="008D7632" w:rsidRPr="0084430A" w:rsidRDefault="0084430A" w:rsidP="00A0124D">
            <w:pPr>
              <w:pStyle w:val="ListParagraph"/>
              <w:numPr>
                <w:ilvl w:val="1"/>
                <w:numId w:val="38"/>
              </w:numPr>
              <w:spacing w:after="0"/>
              <w:ind w:left="616"/>
              <w:rPr>
                <w:rFonts w:ascii="Garamond" w:hAnsi="Garamond"/>
              </w:rPr>
            </w:pPr>
            <w:r>
              <w:rPr>
                <w:rFonts w:ascii="Garamond" w:hAnsi="Garamond"/>
              </w:rPr>
              <w:t>T</w:t>
            </w:r>
            <w:r w:rsidR="008D7632" w:rsidRPr="0084430A">
              <w:rPr>
                <w:rFonts w:ascii="Garamond" w:hAnsi="Garamond"/>
              </w:rPr>
              <w:t>he IDR entity must consider what the contracted rate might have been had the good faith negotiations resulted in the provider</w:t>
            </w:r>
            <w:r w:rsidR="0072618B">
              <w:rPr>
                <w:rFonts w:ascii="Garamond" w:hAnsi="Garamond"/>
              </w:rPr>
              <w:t xml:space="preserve"> </w:t>
            </w:r>
            <w:r w:rsidR="008D7632" w:rsidRPr="0084430A">
              <w:rPr>
                <w:rFonts w:ascii="Garamond" w:hAnsi="Garamond"/>
              </w:rPr>
              <w:t>being in-network.</w:t>
            </w:r>
          </w:p>
          <w:p w14:paraId="0E63D8CA" w14:textId="73EFD01F" w:rsidR="008D7632" w:rsidRPr="0072618B" w:rsidRDefault="008D7632" w:rsidP="0072618B">
            <w:pPr>
              <w:rPr>
                <w:sz w:val="22"/>
                <w:szCs w:val="22"/>
              </w:rPr>
            </w:pPr>
            <w:r w:rsidRPr="0072618B">
              <w:rPr>
                <w:sz w:val="22"/>
                <w:szCs w:val="22"/>
              </w:rPr>
              <w:t xml:space="preserve">The IDR entity is prohibited from considering </w:t>
            </w:r>
            <w:r w:rsidR="0072618B" w:rsidRPr="0072618B">
              <w:rPr>
                <w:sz w:val="22"/>
                <w:szCs w:val="22"/>
              </w:rPr>
              <w:t xml:space="preserve">usual and customary charges, billed charges, or public payers’ reimbursement rates for </w:t>
            </w:r>
            <w:r w:rsidRPr="0072618B">
              <w:rPr>
                <w:sz w:val="22"/>
                <w:szCs w:val="22"/>
              </w:rPr>
              <w:t>the item</w:t>
            </w:r>
            <w:r w:rsidR="0072618B">
              <w:rPr>
                <w:sz w:val="22"/>
                <w:szCs w:val="22"/>
              </w:rPr>
              <w:t xml:space="preserve"> or</w:t>
            </w:r>
            <w:r w:rsidRPr="0072618B">
              <w:rPr>
                <w:sz w:val="22"/>
                <w:szCs w:val="22"/>
              </w:rPr>
              <w:t xml:space="preserve"> service under dispute</w:t>
            </w:r>
            <w:r w:rsidR="0072618B" w:rsidRPr="0072618B">
              <w:rPr>
                <w:sz w:val="22"/>
                <w:szCs w:val="22"/>
              </w:rPr>
              <w:t xml:space="preserve">. </w:t>
            </w:r>
          </w:p>
        </w:tc>
        <w:tc>
          <w:tcPr>
            <w:tcW w:w="2970" w:type="dxa"/>
          </w:tcPr>
          <w:p w14:paraId="78D765C9" w14:textId="77ED8C96" w:rsidR="0072618B" w:rsidRDefault="008D7632" w:rsidP="0072618B">
            <w:pPr>
              <w:rPr>
                <w:sz w:val="22"/>
                <w:szCs w:val="22"/>
              </w:rPr>
            </w:pPr>
            <w:r w:rsidRPr="00351A00">
              <w:rPr>
                <w:sz w:val="22"/>
                <w:szCs w:val="22"/>
              </w:rPr>
              <w:lastRenderedPageBreak/>
              <w:t xml:space="preserve">The </w:t>
            </w:r>
            <w:r>
              <w:rPr>
                <w:sz w:val="22"/>
                <w:szCs w:val="22"/>
              </w:rPr>
              <w:t xml:space="preserve">departments </w:t>
            </w:r>
            <w:r w:rsidR="0072618B">
              <w:t xml:space="preserve"> </w:t>
            </w:r>
            <w:r w:rsidR="0072618B" w:rsidRPr="0072618B">
              <w:rPr>
                <w:sz w:val="22"/>
                <w:szCs w:val="22"/>
              </w:rPr>
              <w:t>intend to provide</w:t>
            </w:r>
            <w:r w:rsidR="0072618B">
              <w:rPr>
                <w:sz w:val="22"/>
                <w:szCs w:val="22"/>
              </w:rPr>
              <w:t xml:space="preserve"> </w:t>
            </w:r>
            <w:r w:rsidR="0072618B" w:rsidRPr="0072618B">
              <w:rPr>
                <w:sz w:val="22"/>
                <w:szCs w:val="22"/>
              </w:rPr>
              <w:t>additional guidance to certified IDR</w:t>
            </w:r>
            <w:r w:rsidR="0072618B">
              <w:rPr>
                <w:sz w:val="22"/>
                <w:szCs w:val="22"/>
              </w:rPr>
              <w:t xml:space="preserve"> </w:t>
            </w:r>
            <w:r w:rsidR="0072618B" w:rsidRPr="0072618B">
              <w:rPr>
                <w:sz w:val="22"/>
                <w:szCs w:val="22"/>
              </w:rPr>
              <w:t>entities as necessary to clarify how the</w:t>
            </w:r>
            <w:r w:rsidR="0072618B">
              <w:rPr>
                <w:sz w:val="22"/>
                <w:szCs w:val="22"/>
              </w:rPr>
              <w:t xml:space="preserve"> </w:t>
            </w:r>
            <w:r w:rsidR="0072618B" w:rsidRPr="0072618B">
              <w:rPr>
                <w:sz w:val="22"/>
                <w:szCs w:val="22"/>
              </w:rPr>
              <w:t xml:space="preserve">allowable factors should be </w:t>
            </w:r>
            <w:r w:rsidR="0072618B">
              <w:rPr>
                <w:sz w:val="22"/>
                <w:szCs w:val="22"/>
              </w:rPr>
              <w:t>c</w:t>
            </w:r>
            <w:r w:rsidR="0072618B" w:rsidRPr="0072618B">
              <w:rPr>
                <w:sz w:val="22"/>
                <w:szCs w:val="22"/>
              </w:rPr>
              <w:t>onsidered</w:t>
            </w:r>
            <w:r w:rsidR="0072618B">
              <w:rPr>
                <w:sz w:val="22"/>
                <w:szCs w:val="22"/>
              </w:rPr>
              <w:t xml:space="preserve"> </w:t>
            </w:r>
            <w:r w:rsidR="0072618B" w:rsidRPr="0072618B">
              <w:rPr>
                <w:sz w:val="22"/>
                <w:szCs w:val="22"/>
              </w:rPr>
              <w:t>and seek comment on this approach</w:t>
            </w:r>
            <w:r w:rsidR="0072618B">
              <w:rPr>
                <w:sz w:val="22"/>
                <w:szCs w:val="22"/>
              </w:rPr>
              <w:t>, including:</w:t>
            </w:r>
          </w:p>
          <w:p w14:paraId="28316828" w14:textId="1D884373" w:rsidR="008D7632" w:rsidRPr="0072618B" w:rsidRDefault="0072618B" w:rsidP="0072618B">
            <w:pPr>
              <w:pStyle w:val="ListParagraph"/>
              <w:numPr>
                <w:ilvl w:val="0"/>
                <w:numId w:val="43"/>
              </w:numPr>
              <w:ind w:left="246" w:hanging="246"/>
              <w:rPr>
                <w:rFonts w:ascii="Garamond" w:hAnsi="Garamond"/>
              </w:rPr>
            </w:pPr>
            <w:r w:rsidRPr="0072618B">
              <w:rPr>
                <w:rFonts w:ascii="Garamond" w:hAnsi="Garamond"/>
              </w:rPr>
              <w:t xml:space="preserve">the appropriateness and scope of the factors previously discussed. </w:t>
            </w:r>
          </w:p>
          <w:p w14:paraId="671135C6" w14:textId="341C68F0" w:rsidR="008D7632" w:rsidRDefault="008D7632" w:rsidP="00A0124D">
            <w:pPr>
              <w:pStyle w:val="ListParagraph"/>
              <w:numPr>
                <w:ilvl w:val="0"/>
                <w:numId w:val="12"/>
              </w:numPr>
              <w:spacing w:after="0" w:line="240" w:lineRule="auto"/>
              <w:ind w:left="246" w:hanging="246"/>
              <w:rPr>
                <w:rFonts w:ascii="Garamond" w:hAnsi="Garamond"/>
              </w:rPr>
            </w:pPr>
            <w:r w:rsidRPr="00351A00">
              <w:rPr>
                <w:rFonts w:ascii="Garamond" w:hAnsi="Garamond"/>
              </w:rPr>
              <w:t xml:space="preserve">whether additional requirements should be considered to address </w:t>
            </w:r>
            <w:r w:rsidR="0072618B" w:rsidRPr="00351A00">
              <w:rPr>
                <w:rFonts w:ascii="Garamond" w:hAnsi="Garamond"/>
              </w:rPr>
              <w:t xml:space="preserve"> </w:t>
            </w:r>
            <w:r w:rsidR="0072618B">
              <w:rPr>
                <w:rFonts w:ascii="Garamond" w:hAnsi="Garamond"/>
              </w:rPr>
              <w:t xml:space="preserve">potential </w:t>
            </w:r>
            <w:r w:rsidR="0072618B" w:rsidRPr="00351A00">
              <w:rPr>
                <w:rFonts w:ascii="Garamond" w:hAnsi="Garamond"/>
              </w:rPr>
              <w:t xml:space="preserve">gaming of the IDR </w:t>
            </w:r>
            <w:r w:rsidR="0072618B">
              <w:rPr>
                <w:rFonts w:ascii="Garamond" w:hAnsi="Garamond"/>
              </w:rPr>
              <w:t>and/or</w:t>
            </w:r>
            <w:r w:rsidR="00A0124D">
              <w:rPr>
                <w:rFonts w:ascii="Garamond" w:hAnsi="Garamond"/>
              </w:rPr>
              <w:t xml:space="preserve"> </w:t>
            </w:r>
            <w:r w:rsidRPr="00351A00">
              <w:rPr>
                <w:rFonts w:ascii="Garamond" w:hAnsi="Garamond"/>
              </w:rPr>
              <w:t>scenario</w:t>
            </w:r>
            <w:r w:rsidR="0072618B">
              <w:rPr>
                <w:rFonts w:ascii="Garamond" w:hAnsi="Garamond"/>
              </w:rPr>
              <w:t>s</w:t>
            </w:r>
            <w:r w:rsidRPr="00351A00">
              <w:rPr>
                <w:rFonts w:ascii="Garamond" w:hAnsi="Garamond"/>
              </w:rPr>
              <w:t xml:space="preserve"> where parties could potentially </w:t>
            </w:r>
            <w:r w:rsidRPr="00351A00">
              <w:rPr>
                <w:rFonts w:ascii="Garamond" w:hAnsi="Garamond"/>
              </w:rPr>
              <w:lastRenderedPageBreak/>
              <w:t>distort information, such as overestimating the teaching experience of providers at a facility or upcoding the costs of services</w:t>
            </w:r>
            <w:r w:rsidR="00A0124D">
              <w:rPr>
                <w:rFonts w:ascii="Garamond" w:hAnsi="Garamond"/>
              </w:rPr>
              <w:t>.</w:t>
            </w:r>
            <w:r w:rsidRPr="00351A00">
              <w:rPr>
                <w:rFonts w:ascii="Garamond" w:hAnsi="Garamond"/>
              </w:rPr>
              <w:t xml:space="preserve"> </w:t>
            </w:r>
            <w:r>
              <w:rPr>
                <w:rFonts w:ascii="Garamond" w:hAnsi="Garamond"/>
              </w:rPr>
              <w:t xml:space="preserve"> </w:t>
            </w:r>
          </w:p>
          <w:p w14:paraId="27806B77" w14:textId="40F28ACA" w:rsidR="008D7632" w:rsidRPr="00351A00" w:rsidDel="00E52C39" w:rsidRDefault="008D7632" w:rsidP="0072618B">
            <w:pPr>
              <w:pStyle w:val="ListParagraph"/>
              <w:spacing w:after="0" w:line="240" w:lineRule="auto"/>
              <w:ind w:left="246"/>
              <w:rPr>
                <w:rFonts w:ascii="Garamond" w:hAnsi="Garamond"/>
              </w:rPr>
            </w:pPr>
          </w:p>
        </w:tc>
        <w:tc>
          <w:tcPr>
            <w:tcW w:w="2700" w:type="dxa"/>
          </w:tcPr>
          <w:p w14:paraId="04A782E9" w14:textId="77777777" w:rsidR="008D7632" w:rsidRPr="00BA1FB9" w:rsidRDefault="008D7632" w:rsidP="008D7632">
            <w:pPr>
              <w:rPr>
                <w:sz w:val="22"/>
                <w:szCs w:val="22"/>
                <w:highlight w:val="yellow"/>
              </w:rPr>
            </w:pPr>
          </w:p>
        </w:tc>
      </w:tr>
      <w:tr w:rsidR="008D7632" w:rsidRPr="00BA1FB9" w14:paraId="4376328E" w14:textId="77777777" w:rsidTr="00C053D3">
        <w:trPr>
          <w:trHeight w:val="983"/>
        </w:trPr>
        <w:tc>
          <w:tcPr>
            <w:tcW w:w="1885" w:type="dxa"/>
          </w:tcPr>
          <w:p w14:paraId="123CCDF6" w14:textId="41B601E7" w:rsidR="008D7632" w:rsidRPr="00E6538C" w:rsidRDefault="008D7632" w:rsidP="008D7632">
            <w:pPr>
              <w:suppressAutoHyphens/>
              <w:autoSpaceDE w:val="0"/>
              <w:autoSpaceDN w:val="0"/>
              <w:adjustRightInd w:val="0"/>
              <w:jc w:val="center"/>
              <w:rPr>
                <w:sz w:val="22"/>
                <w:szCs w:val="22"/>
              </w:rPr>
            </w:pPr>
            <w:r w:rsidRPr="00E6538C">
              <w:rPr>
                <w:b/>
                <w:bCs/>
                <w:sz w:val="22"/>
                <w:szCs w:val="22"/>
              </w:rPr>
              <w:lastRenderedPageBreak/>
              <w:t>IDR Process</w:t>
            </w:r>
            <w:r w:rsidRPr="00E6538C">
              <w:rPr>
                <w:sz w:val="22"/>
                <w:szCs w:val="22"/>
              </w:rPr>
              <w:t xml:space="preserve"> </w:t>
            </w:r>
          </w:p>
          <w:p w14:paraId="7E73C2D8" w14:textId="3A06E70F" w:rsidR="008D7632" w:rsidRPr="00E6538C" w:rsidRDefault="008D7632" w:rsidP="008D7632">
            <w:pPr>
              <w:suppressAutoHyphens/>
              <w:autoSpaceDE w:val="0"/>
              <w:autoSpaceDN w:val="0"/>
              <w:adjustRightInd w:val="0"/>
              <w:jc w:val="center"/>
              <w:rPr>
                <w:sz w:val="22"/>
                <w:szCs w:val="22"/>
              </w:rPr>
            </w:pPr>
          </w:p>
          <w:p w14:paraId="35DAF767" w14:textId="01E0AC98" w:rsidR="008D7632" w:rsidRPr="00E6538C" w:rsidRDefault="00E6538C" w:rsidP="008D7632">
            <w:pPr>
              <w:suppressAutoHyphens/>
              <w:autoSpaceDE w:val="0"/>
              <w:autoSpaceDN w:val="0"/>
              <w:adjustRightInd w:val="0"/>
              <w:jc w:val="center"/>
              <w:rPr>
                <w:b/>
                <w:bCs/>
                <w:sz w:val="22"/>
                <w:szCs w:val="22"/>
              </w:rPr>
            </w:pPr>
            <w:r w:rsidRPr="00E6538C">
              <w:rPr>
                <w:b/>
                <w:bCs/>
                <w:sz w:val="22"/>
                <w:szCs w:val="22"/>
              </w:rPr>
              <w:t xml:space="preserve">Reporting and Implementing </w:t>
            </w:r>
            <w:r w:rsidR="008D7632" w:rsidRPr="00E6538C">
              <w:rPr>
                <w:b/>
                <w:bCs/>
                <w:sz w:val="22"/>
                <w:szCs w:val="22"/>
              </w:rPr>
              <w:t xml:space="preserve">Final Payment </w:t>
            </w:r>
            <w:r w:rsidRPr="00E6538C">
              <w:rPr>
                <w:b/>
                <w:bCs/>
                <w:sz w:val="22"/>
                <w:szCs w:val="22"/>
              </w:rPr>
              <w:t>Decision</w:t>
            </w:r>
          </w:p>
          <w:p w14:paraId="3761CF40" w14:textId="77777777" w:rsidR="008D7632" w:rsidRPr="00E6538C" w:rsidRDefault="008D7632" w:rsidP="008D7632">
            <w:pPr>
              <w:jc w:val="center"/>
              <w:rPr>
                <w:b/>
                <w:bCs/>
                <w:sz w:val="22"/>
                <w:szCs w:val="22"/>
              </w:rPr>
            </w:pPr>
          </w:p>
        </w:tc>
        <w:tc>
          <w:tcPr>
            <w:tcW w:w="7020" w:type="dxa"/>
          </w:tcPr>
          <w:p w14:paraId="2CA481DD" w14:textId="77777777" w:rsidR="008D7632" w:rsidRPr="00E6538C" w:rsidRDefault="008D7632" w:rsidP="00E6538C">
            <w:pPr>
              <w:rPr>
                <w:sz w:val="22"/>
                <w:szCs w:val="22"/>
              </w:rPr>
            </w:pPr>
            <w:r w:rsidRPr="00E6538C">
              <w:rPr>
                <w:sz w:val="22"/>
                <w:szCs w:val="22"/>
              </w:rPr>
              <w:t>The IDR entity must submit a written decision on the final payment rate to the departments.</w:t>
            </w:r>
          </w:p>
          <w:p w14:paraId="1F42850F" w14:textId="61BE8C02" w:rsidR="008D7632" w:rsidRDefault="008D7632" w:rsidP="0072618B">
            <w:pPr>
              <w:pStyle w:val="ListParagraph"/>
              <w:numPr>
                <w:ilvl w:val="0"/>
                <w:numId w:val="14"/>
              </w:numPr>
              <w:spacing w:after="0" w:line="240" w:lineRule="auto"/>
              <w:ind w:left="246" w:hanging="270"/>
              <w:rPr>
                <w:rFonts w:ascii="Garamond" w:hAnsi="Garamond"/>
              </w:rPr>
            </w:pPr>
            <w:r w:rsidRPr="0072618B">
              <w:rPr>
                <w:rFonts w:ascii="Garamond" w:hAnsi="Garamond"/>
              </w:rPr>
              <w:t>If the offer closest to the QPA is not chosen, the written report to the departments must include</w:t>
            </w:r>
            <w:r w:rsidR="0072618B" w:rsidRPr="0072618B">
              <w:rPr>
                <w:rFonts w:ascii="Garamond" w:hAnsi="Garamond"/>
              </w:rPr>
              <w:t xml:space="preserve"> </w:t>
            </w:r>
            <w:r w:rsidR="0072618B">
              <w:rPr>
                <w:rFonts w:ascii="Garamond" w:hAnsi="Garamond"/>
              </w:rPr>
              <w:t>a</w:t>
            </w:r>
            <w:r w:rsidR="00E6538C" w:rsidRPr="0072618B">
              <w:rPr>
                <w:rFonts w:ascii="Garamond" w:hAnsi="Garamond"/>
              </w:rPr>
              <w:t xml:space="preserve"> </w:t>
            </w:r>
            <w:r w:rsidRPr="0072618B">
              <w:rPr>
                <w:rFonts w:ascii="Garamond" w:hAnsi="Garamond"/>
              </w:rPr>
              <w:t xml:space="preserve">detailed explanation of the additional considerations </w:t>
            </w:r>
            <w:r w:rsidR="00E6538C" w:rsidRPr="0072618B">
              <w:rPr>
                <w:rFonts w:ascii="Garamond" w:hAnsi="Garamond"/>
              </w:rPr>
              <w:t xml:space="preserve">that were </w:t>
            </w:r>
            <w:r w:rsidRPr="0072618B">
              <w:rPr>
                <w:rFonts w:ascii="Garamond" w:hAnsi="Garamond"/>
              </w:rPr>
              <w:t>relied upon</w:t>
            </w:r>
            <w:r w:rsidR="00E6538C" w:rsidRPr="0072618B">
              <w:rPr>
                <w:rFonts w:ascii="Garamond" w:hAnsi="Garamond"/>
              </w:rPr>
              <w:t xml:space="preserve"> and the </w:t>
            </w:r>
            <w:r w:rsidRPr="0072618B">
              <w:rPr>
                <w:rFonts w:ascii="Garamond" w:hAnsi="Garamond"/>
              </w:rPr>
              <w:t xml:space="preserve">basis upon which the </w:t>
            </w:r>
            <w:r w:rsidR="00E6538C" w:rsidRPr="0072618B">
              <w:rPr>
                <w:rFonts w:ascii="Garamond" w:hAnsi="Garamond"/>
              </w:rPr>
              <w:t>entity</w:t>
            </w:r>
            <w:r w:rsidRPr="0072618B">
              <w:rPr>
                <w:rFonts w:ascii="Garamond" w:hAnsi="Garamond"/>
              </w:rPr>
              <w:t xml:space="preserve"> determined that the credible information </w:t>
            </w:r>
            <w:r w:rsidR="00E6538C" w:rsidRPr="0072618B">
              <w:rPr>
                <w:rFonts w:ascii="Garamond" w:hAnsi="Garamond"/>
              </w:rPr>
              <w:t xml:space="preserve">provided </w:t>
            </w:r>
            <w:r w:rsidRPr="0072618B">
              <w:rPr>
                <w:rFonts w:ascii="Garamond" w:hAnsi="Garamond"/>
              </w:rPr>
              <w:t>demonstrated that the QPA is materially different from the appropriate out-of-network rate.</w:t>
            </w:r>
          </w:p>
          <w:p w14:paraId="660E2122" w14:textId="77777777" w:rsidR="0072618B" w:rsidRPr="0072618B" w:rsidRDefault="0072618B" w:rsidP="0072618B">
            <w:pPr>
              <w:pStyle w:val="ListParagraph"/>
              <w:spacing w:after="0" w:line="240" w:lineRule="auto"/>
              <w:ind w:left="246"/>
              <w:rPr>
                <w:rFonts w:ascii="Garamond" w:hAnsi="Garamond"/>
              </w:rPr>
            </w:pPr>
          </w:p>
          <w:p w14:paraId="4DF06B33" w14:textId="77777777" w:rsidR="008D7632" w:rsidRPr="00E6538C" w:rsidRDefault="008D7632" w:rsidP="00E6538C">
            <w:pPr>
              <w:rPr>
                <w:sz w:val="22"/>
                <w:szCs w:val="22"/>
              </w:rPr>
            </w:pPr>
            <w:r w:rsidRPr="00E6538C">
              <w:rPr>
                <w:sz w:val="22"/>
                <w:szCs w:val="22"/>
              </w:rPr>
              <w:t xml:space="preserve">The payer must make any payments due to the provider as a result of the final payment determination within 30 calendar days of the final decision. </w:t>
            </w:r>
          </w:p>
          <w:p w14:paraId="54E52B27" w14:textId="56759E43" w:rsidR="008D7632" w:rsidRDefault="008D7632" w:rsidP="00E6538C">
            <w:pPr>
              <w:pStyle w:val="ListParagraph"/>
              <w:numPr>
                <w:ilvl w:val="0"/>
                <w:numId w:val="39"/>
              </w:numPr>
              <w:spacing w:after="0" w:line="240" w:lineRule="auto"/>
              <w:rPr>
                <w:rFonts w:ascii="Garamond" w:hAnsi="Garamond"/>
              </w:rPr>
            </w:pPr>
            <w:r w:rsidRPr="00E6538C">
              <w:rPr>
                <w:rFonts w:ascii="Garamond" w:hAnsi="Garamond"/>
              </w:rPr>
              <w:t>The final payment will be reduced by the amount already paid to the provider and any cost</w:t>
            </w:r>
            <w:r w:rsidR="00E6538C" w:rsidRPr="00E6538C">
              <w:rPr>
                <w:rFonts w:ascii="Garamond" w:hAnsi="Garamond"/>
              </w:rPr>
              <w:t>-</w:t>
            </w:r>
            <w:r w:rsidRPr="00E6538C">
              <w:rPr>
                <w:rFonts w:ascii="Garamond" w:hAnsi="Garamond"/>
              </w:rPr>
              <w:t xml:space="preserve">sharing paid by the patient. The final payment determination does not change the patient’s cost-sharing obligation, which is based on the QPA. </w:t>
            </w:r>
          </w:p>
          <w:p w14:paraId="48104DBD" w14:textId="26BB2BBE" w:rsidR="00E6538C" w:rsidRPr="0072618B" w:rsidRDefault="008D7632" w:rsidP="0072618B">
            <w:pPr>
              <w:pStyle w:val="ListParagraph"/>
              <w:numPr>
                <w:ilvl w:val="0"/>
                <w:numId w:val="39"/>
              </w:numPr>
              <w:rPr>
                <w:rFonts w:ascii="Garamond" w:hAnsi="Garamond"/>
              </w:rPr>
            </w:pPr>
            <w:r w:rsidRPr="0072618B">
              <w:rPr>
                <w:rFonts w:ascii="Garamond" w:hAnsi="Garamond"/>
              </w:rPr>
              <w:t xml:space="preserve">The provider must remit </w:t>
            </w:r>
            <w:r w:rsidR="00E6538C" w:rsidRPr="0072618B">
              <w:rPr>
                <w:rFonts w:ascii="Garamond" w:hAnsi="Garamond"/>
              </w:rPr>
              <w:t xml:space="preserve">to the payer </w:t>
            </w:r>
            <w:r w:rsidRPr="0072618B">
              <w:rPr>
                <w:rFonts w:ascii="Garamond" w:hAnsi="Garamond"/>
              </w:rPr>
              <w:t xml:space="preserve">any </w:t>
            </w:r>
            <w:r w:rsidR="00E6538C" w:rsidRPr="0072618B">
              <w:rPr>
                <w:rFonts w:ascii="Garamond" w:hAnsi="Garamond"/>
              </w:rPr>
              <w:t xml:space="preserve">extra </w:t>
            </w:r>
            <w:r w:rsidRPr="0072618B">
              <w:rPr>
                <w:rFonts w:ascii="Garamond" w:hAnsi="Garamond"/>
              </w:rPr>
              <w:t xml:space="preserve">cost-sharing </w:t>
            </w:r>
            <w:r w:rsidR="00E6538C" w:rsidRPr="0072618B">
              <w:rPr>
                <w:rFonts w:ascii="Garamond" w:hAnsi="Garamond"/>
              </w:rPr>
              <w:t xml:space="preserve">that was </w:t>
            </w:r>
            <w:r w:rsidRPr="0072618B">
              <w:rPr>
                <w:rFonts w:ascii="Garamond" w:hAnsi="Garamond"/>
              </w:rPr>
              <w:t xml:space="preserve">paid by the patient within 30 calendar days of the final </w:t>
            </w:r>
            <w:r w:rsidR="00E6538C" w:rsidRPr="0072618B">
              <w:rPr>
                <w:rFonts w:ascii="Garamond" w:hAnsi="Garamond"/>
              </w:rPr>
              <w:t xml:space="preserve">payment decision. </w:t>
            </w:r>
            <w:r w:rsidRPr="0072618B">
              <w:rPr>
                <w:rFonts w:ascii="Garamond" w:hAnsi="Garamond"/>
              </w:rPr>
              <w:t xml:space="preserve"> </w:t>
            </w:r>
          </w:p>
          <w:p w14:paraId="3E589C26" w14:textId="3851CC20" w:rsidR="008D7632" w:rsidRPr="00E6538C" w:rsidRDefault="008D7632" w:rsidP="00E6538C">
            <w:r w:rsidRPr="00E6538C">
              <w:rPr>
                <w:sz w:val="22"/>
                <w:szCs w:val="22"/>
              </w:rPr>
              <w:t xml:space="preserve">The party that initiated the IDR process is prohibited from initiating another IDR involving the same other party with respect to the same or similar item or service for 90 calendar days following the final payment determination.  </w:t>
            </w:r>
          </w:p>
        </w:tc>
        <w:tc>
          <w:tcPr>
            <w:tcW w:w="2970" w:type="dxa"/>
          </w:tcPr>
          <w:p w14:paraId="686B25BC" w14:textId="562272AB" w:rsidR="008D7632" w:rsidRPr="00BA1FB9" w:rsidRDefault="008D7632" w:rsidP="008D7632">
            <w:pPr>
              <w:pStyle w:val="ListParagraph"/>
              <w:spacing w:after="0" w:line="240" w:lineRule="auto"/>
              <w:ind w:left="0"/>
              <w:rPr>
                <w:rFonts w:ascii="Garamond" w:hAnsi="Garamond"/>
              </w:rPr>
            </w:pPr>
          </w:p>
        </w:tc>
        <w:tc>
          <w:tcPr>
            <w:tcW w:w="2700" w:type="dxa"/>
          </w:tcPr>
          <w:p w14:paraId="71938585" w14:textId="77777777" w:rsidR="008D7632" w:rsidRPr="00BA1FB9" w:rsidRDefault="008D7632" w:rsidP="008D7632">
            <w:pPr>
              <w:pStyle w:val="ListParagraph"/>
              <w:spacing w:after="0" w:line="240" w:lineRule="auto"/>
              <w:ind w:left="360"/>
              <w:rPr>
                <w:rFonts w:ascii="Garamond" w:hAnsi="Garamond"/>
              </w:rPr>
            </w:pPr>
          </w:p>
        </w:tc>
      </w:tr>
      <w:tr w:rsidR="008D7632" w:rsidRPr="00BA1FB9" w14:paraId="3A28E15D" w14:textId="77777777" w:rsidTr="000A5D9F">
        <w:trPr>
          <w:trHeight w:val="983"/>
        </w:trPr>
        <w:tc>
          <w:tcPr>
            <w:tcW w:w="1885" w:type="dxa"/>
          </w:tcPr>
          <w:p w14:paraId="777D4BA1" w14:textId="4D89D2CA" w:rsidR="008D7632" w:rsidRDefault="00E6538C" w:rsidP="008D7632">
            <w:pPr>
              <w:jc w:val="center"/>
              <w:rPr>
                <w:b/>
                <w:bCs/>
                <w:sz w:val="22"/>
                <w:szCs w:val="22"/>
              </w:rPr>
            </w:pPr>
            <w:r>
              <w:rPr>
                <w:b/>
                <w:bCs/>
                <w:sz w:val="22"/>
                <w:szCs w:val="22"/>
              </w:rPr>
              <w:t>IDR Process</w:t>
            </w:r>
          </w:p>
          <w:p w14:paraId="3DC481D9" w14:textId="77777777" w:rsidR="008D7632" w:rsidRDefault="008D7632" w:rsidP="008D7632">
            <w:pPr>
              <w:jc w:val="center"/>
              <w:rPr>
                <w:b/>
                <w:bCs/>
                <w:sz w:val="22"/>
                <w:szCs w:val="22"/>
              </w:rPr>
            </w:pPr>
          </w:p>
          <w:p w14:paraId="6DDEC07B" w14:textId="4666E05A" w:rsidR="008D7632" w:rsidRDefault="008D7632" w:rsidP="008D7632">
            <w:pPr>
              <w:jc w:val="center"/>
              <w:rPr>
                <w:b/>
                <w:bCs/>
                <w:sz w:val="22"/>
                <w:szCs w:val="22"/>
              </w:rPr>
            </w:pPr>
            <w:r>
              <w:rPr>
                <w:b/>
                <w:bCs/>
                <w:sz w:val="22"/>
                <w:szCs w:val="22"/>
              </w:rPr>
              <w:t>Reporting Requirements</w:t>
            </w:r>
          </w:p>
        </w:tc>
        <w:tc>
          <w:tcPr>
            <w:tcW w:w="7020" w:type="dxa"/>
          </w:tcPr>
          <w:p w14:paraId="02BF6B44" w14:textId="6145B42F" w:rsidR="008D7632" w:rsidRPr="001554B2" w:rsidRDefault="00E6538C" w:rsidP="008D7632">
            <w:pPr>
              <w:pStyle w:val="Default"/>
              <w:rPr>
                <w:rFonts w:ascii="Garamond" w:hAnsi="Garamond"/>
                <w:sz w:val="22"/>
                <w:szCs w:val="22"/>
              </w:rPr>
            </w:pPr>
            <w:r>
              <w:rPr>
                <w:rFonts w:ascii="Garamond" w:hAnsi="Garamond"/>
                <w:sz w:val="22"/>
                <w:szCs w:val="22"/>
              </w:rPr>
              <w:t>E</w:t>
            </w:r>
            <w:r w:rsidR="008D7632" w:rsidRPr="001554B2">
              <w:rPr>
                <w:rFonts w:ascii="Garamond" w:hAnsi="Garamond"/>
                <w:sz w:val="22"/>
                <w:szCs w:val="22"/>
              </w:rPr>
              <w:t xml:space="preserve">ach month, IDR entities must report to the departments </w:t>
            </w:r>
            <w:r>
              <w:rPr>
                <w:rFonts w:ascii="Garamond" w:hAnsi="Garamond"/>
                <w:sz w:val="22"/>
                <w:szCs w:val="22"/>
              </w:rPr>
              <w:t xml:space="preserve">certain </w:t>
            </w:r>
            <w:r w:rsidR="008D7632" w:rsidRPr="001554B2">
              <w:rPr>
                <w:rFonts w:ascii="Garamond" w:hAnsi="Garamond"/>
                <w:sz w:val="22"/>
                <w:szCs w:val="22"/>
              </w:rPr>
              <w:t>data on final payment determinations</w:t>
            </w:r>
            <w:r>
              <w:rPr>
                <w:rFonts w:ascii="Garamond" w:hAnsi="Garamond"/>
                <w:sz w:val="22"/>
                <w:szCs w:val="22"/>
              </w:rPr>
              <w:t xml:space="preserve">, which will be included </w:t>
            </w:r>
            <w:r w:rsidR="008D7632" w:rsidRPr="001554B2">
              <w:rPr>
                <w:rFonts w:ascii="Garamond" w:hAnsi="Garamond"/>
                <w:sz w:val="22"/>
                <w:szCs w:val="22"/>
              </w:rPr>
              <w:t xml:space="preserve">in quarterly reports </w:t>
            </w:r>
            <w:r>
              <w:rPr>
                <w:rFonts w:ascii="Garamond" w:hAnsi="Garamond"/>
                <w:sz w:val="22"/>
                <w:szCs w:val="22"/>
              </w:rPr>
              <w:t xml:space="preserve">posted </w:t>
            </w:r>
            <w:r w:rsidR="008D7632" w:rsidRPr="001554B2">
              <w:rPr>
                <w:rFonts w:ascii="Garamond" w:hAnsi="Garamond"/>
                <w:sz w:val="22"/>
                <w:szCs w:val="22"/>
              </w:rPr>
              <w:t xml:space="preserve">on a public website. Datapoints include: </w:t>
            </w:r>
          </w:p>
          <w:p w14:paraId="2B18C0E6" w14:textId="3550B083" w:rsidR="008D7632" w:rsidRPr="001554B2" w:rsidRDefault="008D7632" w:rsidP="00A0124D">
            <w:pPr>
              <w:pStyle w:val="Default"/>
              <w:numPr>
                <w:ilvl w:val="0"/>
                <w:numId w:val="18"/>
              </w:numPr>
              <w:rPr>
                <w:rFonts w:ascii="Garamond" w:hAnsi="Garamond"/>
                <w:sz w:val="22"/>
                <w:szCs w:val="22"/>
              </w:rPr>
            </w:pPr>
            <w:r w:rsidRPr="001554B2">
              <w:rPr>
                <w:rFonts w:ascii="Garamond" w:hAnsi="Garamond"/>
                <w:sz w:val="22"/>
                <w:szCs w:val="22"/>
              </w:rPr>
              <w:t xml:space="preserve">The types of items or services </w:t>
            </w:r>
          </w:p>
          <w:p w14:paraId="51748BD4" w14:textId="77777777" w:rsidR="008D7632" w:rsidRPr="001554B2" w:rsidRDefault="008D7632" w:rsidP="00A0124D">
            <w:pPr>
              <w:pStyle w:val="Default"/>
              <w:numPr>
                <w:ilvl w:val="0"/>
                <w:numId w:val="18"/>
              </w:numPr>
              <w:rPr>
                <w:rFonts w:ascii="Garamond" w:hAnsi="Garamond"/>
                <w:sz w:val="22"/>
                <w:szCs w:val="22"/>
              </w:rPr>
            </w:pPr>
            <w:r w:rsidRPr="001554B2">
              <w:rPr>
                <w:rFonts w:ascii="Garamond" w:hAnsi="Garamond"/>
                <w:sz w:val="22"/>
                <w:szCs w:val="22"/>
              </w:rPr>
              <w:t xml:space="preserve">Each party’s name and address </w:t>
            </w:r>
          </w:p>
          <w:p w14:paraId="0FC4396C" w14:textId="697E3B87" w:rsidR="008D7632" w:rsidRPr="001554B2" w:rsidRDefault="008D7632" w:rsidP="00A0124D">
            <w:pPr>
              <w:pStyle w:val="Default"/>
              <w:numPr>
                <w:ilvl w:val="0"/>
                <w:numId w:val="18"/>
              </w:numPr>
              <w:rPr>
                <w:rFonts w:ascii="Garamond" w:hAnsi="Garamond"/>
                <w:sz w:val="22"/>
                <w:szCs w:val="22"/>
              </w:rPr>
            </w:pPr>
            <w:r w:rsidRPr="001554B2">
              <w:rPr>
                <w:rFonts w:ascii="Garamond" w:hAnsi="Garamond"/>
                <w:sz w:val="22"/>
                <w:szCs w:val="22"/>
              </w:rPr>
              <w:t xml:space="preserve">The relevant geographic region for purposes of the QPA </w:t>
            </w:r>
          </w:p>
          <w:p w14:paraId="698A479B" w14:textId="77777777" w:rsidR="008D7632" w:rsidRPr="001554B2" w:rsidRDefault="008D7632" w:rsidP="00A0124D">
            <w:pPr>
              <w:pStyle w:val="Default"/>
              <w:numPr>
                <w:ilvl w:val="0"/>
                <w:numId w:val="18"/>
              </w:numPr>
              <w:rPr>
                <w:rFonts w:ascii="Garamond" w:hAnsi="Garamond"/>
                <w:sz w:val="22"/>
                <w:szCs w:val="22"/>
              </w:rPr>
            </w:pPr>
            <w:r w:rsidRPr="001554B2">
              <w:rPr>
                <w:rFonts w:ascii="Garamond" w:hAnsi="Garamond"/>
                <w:sz w:val="22"/>
                <w:szCs w:val="22"/>
              </w:rPr>
              <w:t xml:space="preserve">The practice specialty or type and size in terms of employees </w:t>
            </w:r>
          </w:p>
          <w:p w14:paraId="0335A1CD" w14:textId="77777777" w:rsidR="008D7632" w:rsidRPr="001554B2" w:rsidRDefault="008D7632" w:rsidP="00A0124D">
            <w:pPr>
              <w:pStyle w:val="Default"/>
              <w:numPr>
                <w:ilvl w:val="0"/>
                <w:numId w:val="18"/>
              </w:numPr>
              <w:rPr>
                <w:rFonts w:ascii="Garamond" w:hAnsi="Garamond"/>
                <w:sz w:val="22"/>
                <w:szCs w:val="22"/>
              </w:rPr>
            </w:pPr>
            <w:r w:rsidRPr="001554B2">
              <w:rPr>
                <w:rFonts w:ascii="Garamond" w:hAnsi="Garamond"/>
                <w:sz w:val="22"/>
                <w:szCs w:val="22"/>
              </w:rPr>
              <w:t xml:space="preserve">The offers submitted by each party as both a dollar amount and percentage of the QPA </w:t>
            </w:r>
          </w:p>
          <w:p w14:paraId="52E990B9" w14:textId="31D93F7E" w:rsidR="008D7632" w:rsidRPr="001554B2" w:rsidRDefault="008D7632" w:rsidP="00A0124D">
            <w:pPr>
              <w:pStyle w:val="Default"/>
              <w:numPr>
                <w:ilvl w:val="0"/>
                <w:numId w:val="18"/>
              </w:numPr>
              <w:rPr>
                <w:rFonts w:ascii="Garamond" w:hAnsi="Garamond"/>
                <w:sz w:val="22"/>
                <w:szCs w:val="22"/>
              </w:rPr>
            </w:pPr>
            <w:r w:rsidRPr="001554B2">
              <w:rPr>
                <w:rFonts w:ascii="Garamond" w:hAnsi="Garamond"/>
                <w:sz w:val="22"/>
                <w:szCs w:val="22"/>
              </w:rPr>
              <w:t xml:space="preserve">Whether the </w:t>
            </w:r>
            <w:r w:rsidR="00E6538C">
              <w:rPr>
                <w:rFonts w:ascii="Garamond" w:hAnsi="Garamond"/>
                <w:sz w:val="22"/>
                <w:szCs w:val="22"/>
              </w:rPr>
              <w:t xml:space="preserve">selected </w:t>
            </w:r>
            <w:r w:rsidRPr="001554B2">
              <w:rPr>
                <w:rFonts w:ascii="Garamond" w:hAnsi="Garamond"/>
                <w:sz w:val="22"/>
                <w:szCs w:val="22"/>
              </w:rPr>
              <w:t>offer was submitted by the plan or the provider</w:t>
            </w:r>
          </w:p>
          <w:p w14:paraId="6B8BB3D1" w14:textId="06BA0128" w:rsidR="008D7632" w:rsidRPr="001554B2" w:rsidRDefault="008D7632" w:rsidP="00A0124D">
            <w:pPr>
              <w:pStyle w:val="Default"/>
              <w:numPr>
                <w:ilvl w:val="0"/>
                <w:numId w:val="18"/>
              </w:numPr>
              <w:rPr>
                <w:rFonts w:ascii="Garamond" w:hAnsi="Garamond"/>
                <w:sz w:val="22"/>
                <w:szCs w:val="22"/>
              </w:rPr>
            </w:pPr>
            <w:r w:rsidRPr="001554B2">
              <w:rPr>
                <w:rFonts w:ascii="Garamond" w:hAnsi="Garamond"/>
                <w:sz w:val="22"/>
                <w:szCs w:val="22"/>
              </w:rPr>
              <w:t>The rationale for the decision, including if it was based on criteria other than the QPA</w:t>
            </w:r>
          </w:p>
          <w:p w14:paraId="158B14D0" w14:textId="54201B72" w:rsidR="008D7632" w:rsidRPr="00062885" w:rsidRDefault="008D7632" w:rsidP="00A0124D">
            <w:pPr>
              <w:pStyle w:val="Default"/>
              <w:numPr>
                <w:ilvl w:val="0"/>
                <w:numId w:val="18"/>
              </w:numPr>
              <w:rPr>
                <w:sz w:val="22"/>
                <w:szCs w:val="22"/>
              </w:rPr>
            </w:pPr>
            <w:r w:rsidRPr="001554B2">
              <w:rPr>
                <w:rFonts w:ascii="Garamond" w:hAnsi="Garamond"/>
                <w:sz w:val="22"/>
                <w:szCs w:val="22"/>
              </w:rPr>
              <w:t xml:space="preserve">The number of times the </w:t>
            </w:r>
            <w:r w:rsidR="00E6538C">
              <w:rPr>
                <w:rFonts w:ascii="Garamond" w:hAnsi="Garamond"/>
                <w:sz w:val="22"/>
                <w:szCs w:val="22"/>
              </w:rPr>
              <w:t>final payment rate</w:t>
            </w:r>
            <w:r w:rsidRPr="001554B2">
              <w:rPr>
                <w:rFonts w:ascii="Garamond" w:hAnsi="Garamond"/>
                <w:sz w:val="22"/>
                <w:szCs w:val="22"/>
              </w:rPr>
              <w:t xml:space="preserve"> exceeded the QPA </w:t>
            </w:r>
          </w:p>
        </w:tc>
        <w:tc>
          <w:tcPr>
            <w:tcW w:w="2970" w:type="dxa"/>
          </w:tcPr>
          <w:p w14:paraId="13AA3938" w14:textId="77777777" w:rsidR="008D7632" w:rsidRPr="00BA1FB9" w:rsidRDefault="008D7632" w:rsidP="008D7632">
            <w:pPr>
              <w:pStyle w:val="ListParagraph"/>
              <w:spacing w:after="0" w:line="240" w:lineRule="auto"/>
              <w:ind w:left="0"/>
              <w:rPr>
                <w:rFonts w:ascii="Garamond" w:hAnsi="Garamond"/>
              </w:rPr>
            </w:pPr>
          </w:p>
        </w:tc>
        <w:tc>
          <w:tcPr>
            <w:tcW w:w="2700" w:type="dxa"/>
          </w:tcPr>
          <w:p w14:paraId="0461E207" w14:textId="77777777" w:rsidR="008D7632" w:rsidRPr="00BA1FB9" w:rsidRDefault="008D7632" w:rsidP="008D7632">
            <w:pPr>
              <w:pStyle w:val="ListParagraph"/>
              <w:spacing w:after="0" w:line="240" w:lineRule="auto"/>
              <w:ind w:left="360"/>
              <w:rPr>
                <w:rFonts w:ascii="Garamond" w:hAnsi="Garamond"/>
              </w:rPr>
            </w:pPr>
          </w:p>
        </w:tc>
      </w:tr>
      <w:tr w:rsidR="008D7632" w:rsidRPr="00BA1FB9" w14:paraId="547999C1" w14:textId="4C1EE066" w:rsidTr="00C053D3">
        <w:trPr>
          <w:trHeight w:val="983"/>
        </w:trPr>
        <w:tc>
          <w:tcPr>
            <w:tcW w:w="1885" w:type="dxa"/>
          </w:tcPr>
          <w:p w14:paraId="09F7DACA" w14:textId="689301C7" w:rsidR="008D7632" w:rsidRPr="00BA1FB9" w:rsidRDefault="008D7632" w:rsidP="008D7632">
            <w:pPr>
              <w:jc w:val="center"/>
              <w:rPr>
                <w:rFonts w:eastAsia="Times New Roman" w:cs="Times New Roman"/>
                <w:b/>
                <w:bCs/>
                <w:sz w:val="22"/>
                <w:szCs w:val="22"/>
              </w:rPr>
            </w:pPr>
            <w:r>
              <w:rPr>
                <w:b/>
                <w:bCs/>
                <w:sz w:val="22"/>
                <w:szCs w:val="22"/>
              </w:rPr>
              <w:lastRenderedPageBreak/>
              <w:t xml:space="preserve"> External Review of Adverse Benefit Determinations</w:t>
            </w:r>
          </w:p>
        </w:tc>
        <w:tc>
          <w:tcPr>
            <w:tcW w:w="7020" w:type="dxa"/>
          </w:tcPr>
          <w:p w14:paraId="049135BA" w14:textId="7392C467" w:rsidR="008D7632" w:rsidRPr="00915795" w:rsidRDefault="008D7632" w:rsidP="008D7632">
            <w:pPr>
              <w:pStyle w:val="Default"/>
              <w:rPr>
                <w:rFonts w:ascii="Garamond" w:eastAsia="Times New Roman" w:hAnsi="Garamond" w:cstheme="minorHAnsi"/>
                <w:sz w:val="22"/>
                <w:szCs w:val="22"/>
              </w:rPr>
            </w:pPr>
            <w:r w:rsidRPr="00915795">
              <w:rPr>
                <w:rFonts w:ascii="Garamond" w:hAnsi="Garamond"/>
                <w:sz w:val="22"/>
                <w:szCs w:val="22"/>
              </w:rPr>
              <w:t xml:space="preserve">The rule broadens the scope of state and federal external review requirements to the review of any adverse benefit determination that </w:t>
            </w:r>
            <w:r w:rsidR="006D5643">
              <w:rPr>
                <w:rFonts w:ascii="Garamond" w:hAnsi="Garamond"/>
                <w:sz w:val="22"/>
                <w:szCs w:val="22"/>
              </w:rPr>
              <w:t xml:space="preserve">relates to a plan’s </w:t>
            </w:r>
            <w:r w:rsidRPr="00915795">
              <w:rPr>
                <w:rFonts w:ascii="Garamond" w:hAnsi="Garamond"/>
                <w:sz w:val="22"/>
                <w:szCs w:val="22"/>
              </w:rPr>
              <w:t>compl</w:t>
            </w:r>
            <w:r w:rsidR="006D5643">
              <w:rPr>
                <w:rFonts w:ascii="Garamond" w:hAnsi="Garamond"/>
                <w:sz w:val="22"/>
                <w:szCs w:val="22"/>
              </w:rPr>
              <w:t>iance</w:t>
            </w:r>
            <w:r w:rsidRPr="00915795">
              <w:rPr>
                <w:rFonts w:ascii="Garamond" w:hAnsi="Garamond"/>
                <w:sz w:val="22"/>
                <w:szCs w:val="22"/>
              </w:rPr>
              <w:t xml:space="preserve"> with the surprise billing and cost-sharing protections of the act. </w:t>
            </w:r>
          </w:p>
        </w:tc>
        <w:tc>
          <w:tcPr>
            <w:tcW w:w="2970" w:type="dxa"/>
          </w:tcPr>
          <w:p w14:paraId="51C6D8D7" w14:textId="2CDC710A" w:rsidR="008D7632" w:rsidRPr="00D557AC" w:rsidRDefault="008D7632" w:rsidP="008D7632">
            <w:pPr>
              <w:pStyle w:val="ListParagraph"/>
              <w:spacing w:after="0" w:line="240" w:lineRule="auto"/>
              <w:ind w:left="0"/>
              <w:rPr>
                <w:rFonts w:ascii="Garamond" w:hAnsi="Garamond"/>
              </w:rPr>
            </w:pPr>
          </w:p>
        </w:tc>
        <w:tc>
          <w:tcPr>
            <w:tcW w:w="2700" w:type="dxa"/>
          </w:tcPr>
          <w:p w14:paraId="5793934D" w14:textId="77777777" w:rsidR="008D7632" w:rsidRPr="00BA1FB9" w:rsidRDefault="008D7632" w:rsidP="008D7632">
            <w:pPr>
              <w:pStyle w:val="ListParagraph"/>
              <w:spacing w:after="0" w:line="240" w:lineRule="auto"/>
              <w:ind w:left="360"/>
              <w:rPr>
                <w:rFonts w:ascii="Garamond" w:hAnsi="Garamond"/>
              </w:rPr>
            </w:pPr>
          </w:p>
        </w:tc>
      </w:tr>
      <w:tr w:rsidR="008D7632" w:rsidRPr="00BA1FB9" w14:paraId="7F82C4EF" w14:textId="77777777" w:rsidTr="00C053D3">
        <w:trPr>
          <w:trHeight w:val="1514"/>
        </w:trPr>
        <w:tc>
          <w:tcPr>
            <w:tcW w:w="1885" w:type="dxa"/>
          </w:tcPr>
          <w:p w14:paraId="58C56FF9" w14:textId="77777777" w:rsidR="008D7632" w:rsidRDefault="008D7632" w:rsidP="00D557AC">
            <w:pPr>
              <w:suppressAutoHyphens/>
              <w:autoSpaceDE w:val="0"/>
              <w:autoSpaceDN w:val="0"/>
              <w:adjustRightInd w:val="0"/>
              <w:jc w:val="center"/>
              <w:rPr>
                <w:b/>
                <w:bCs/>
                <w:sz w:val="22"/>
                <w:szCs w:val="22"/>
              </w:rPr>
            </w:pPr>
            <w:r>
              <w:rPr>
                <w:b/>
                <w:bCs/>
                <w:sz w:val="22"/>
                <w:szCs w:val="22"/>
              </w:rPr>
              <w:t>Good Faith Estimates for Uninsured/Self-pay Patients</w:t>
            </w:r>
            <w:r>
              <w:rPr>
                <w:rStyle w:val="FootnoteReference"/>
                <w:b/>
                <w:bCs/>
                <w:sz w:val="22"/>
                <w:szCs w:val="22"/>
              </w:rPr>
              <w:footnoteReference w:id="3"/>
            </w:r>
            <w:r w:rsidRPr="00BA1FB9">
              <w:rPr>
                <w:b/>
                <w:bCs/>
                <w:sz w:val="22"/>
                <w:szCs w:val="22"/>
              </w:rPr>
              <w:t xml:space="preserve"> </w:t>
            </w:r>
          </w:p>
          <w:p w14:paraId="38BD992A" w14:textId="77777777" w:rsidR="008D7632" w:rsidRDefault="008D7632" w:rsidP="00D557AC">
            <w:pPr>
              <w:suppressAutoHyphens/>
              <w:autoSpaceDE w:val="0"/>
              <w:autoSpaceDN w:val="0"/>
              <w:adjustRightInd w:val="0"/>
              <w:jc w:val="center"/>
              <w:rPr>
                <w:b/>
                <w:bCs/>
                <w:sz w:val="22"/>
                <w:szCs w:val="22"/>
              </w:rPr>
            </w:pPr>
          </w:p>
          <w:p w14:paraId="670E443C" w14:textId="2B6696DC" w:rsidR="008D7632" w:rsidRPr="00BA1FB9" w:rsidRDefault="008D7632" w:rsidP="00D557AC">
            <w:pPr>
              <w:suppressAutoHyphens/>
              <w:autoSpaceDE w:val="0"/>
              <w:autoSpaceDN w:val="0"/>
              <w:adjustRightInd w:val="0"/>
              <w:jc w:val="center"/>
              <w:rPr>
                <w:b/>
                <w:bCs/>
                <w:sz w:val="22"/>
                <w:szCs w:val="22"/>
              </w:rPr>
            </w:pPr>
          </w:p>
        </w:tc>
        <w:tc>
          <w:tcPr>
            <w:tcW w:w="7020" w:type="dxa"/>
          </w:tcPr>
          <w:p w14:paraId="20588FA6" w14:textId="081E4B6C" w:rsidR="00D557AC" w:rsidRDefault="008D7632" w:rsidP="00D557AC">
            <w:pPr>
              <w:rPr>
                <w:sz w:val="22"/>
                <w:szCs w:val="22"/>
              </w:rPr>
            </w:pPr>
            <w:r w:rsidRPr="0072618B">
              <w:rPr>
                <w:sz w:val="22"/>
                <w:szCs w:val="22"/>
              </w:rPr>
              <w:t>Uninsured and self-pay patients</w:t>
            </w:r>
            <w:r w:rsidRPr="0072618B">
              <w:rPr>
                <w:rStyle w:val="FootnoteReference"/>
                <w:sz w:val="22"/>
                <w:szCs w:val="22"/>
              </w:rPr>
              <w:footnoteReference w:id="4"/>
            </w:r>
            <w:r w:rsidRPr="0072618B">
              <w:rPr>
                <w:sz w:val="22"/>
                <w:szCs w:val="22"/>
              </w:rPr>
              <w:t xml:space="preserve"> (or their authorized representative) must be given a good faith estimate of potential charges, including </w:t>
            </w:r>
            <w:r w:rsidR="0072618B" w:rsidRPr="0072618B">
              <w:rPr>
                <w:sz w:val="22"/>
                <w:szCs w:val="22"/>
              </w:rPr>
              <w:t xml:space="preserve">for items and services </w:t>
            </w:r>
            <w:r w:rsidRPr="0072618B">
              <w:rPr>
                <w:sz w:val="22"/>
                <w:szCs w:val="22"/>
              </w:rPr>
              <w:t>that are reasonably expected to be provided in conjunction with care</w:t>
            </w:r>
            <w:r w:rsidR="0072618B" w:rsidRPr="0072618B">
              <w:rPr>
                <w:sz w:val="22"/>
                <w:szCs w:val="22"/>
              </w:rPr>
              <w:t>.</w:t>
            </w:r>
          </w:p>
          <w:p w14:paraId="719C064D" w14:textId="77777777" w:rsidR="00D557AC" w:rsidRDefault="00D557AC" w:rsidP="00D557AC">
            <w:pPr>
              <w:pStyle w:val="ListParagraph"/>
              <w:numPr>
                <w:ilvl w:val="0"/>
                <w:numId w:val="19"/>
              </w:numPr>
              <w:spacing w:after="0" w:line="240" w:lineRule="auto"/>
              <w:ind w:left="246" w:hanging="246"/>
              <w:rPr>
                <w:rFonts w:ascii="Garamond" w:hAnsi="Garamond"/>
              </w:rPr>
            </w:pPr>
            <w:r w:rsidRPr="0072618B">
              <w:rPr>
                <w:rFonts w:ascii="Garamond" w:hAnsi="Garamond"/>
              </w:rPr>
              <w:t>The estimate must be given prior to all scheduled services or by request if the patient is shopping for care and has not yet at the point of scheduling.</w:t>
            </w:r>
          </w:p>
          <w:p w14:paraId="09AAB688" w14:textId="77777777" w:rsidR="00D557AC" w:rsidRPr="00D557AC" w:rsidRDefault="00D557AC" w:rsidP="00D557AC">
            <w:pPr>
              <w:pStyle w:val="ListParagraph"/>
              <w:numPr>
                <w:ilvl w:val="0"/>
                <w:numId w:val="19"/>
              </w:numPr>
              <w:spacing w:after="0" w:line="240" w:lineRule="auto"/>
              <w:ind w:left="246" w:hanging="246"/>
              <w:rPr>
                <w:rFonts w:ascii="Garamond" w:hAnsi="Garamond"/>
              </w:rPr>
            </w:pPr>
            <w:r w:rsidRPr="00D557AC">
              <w:rPr>
                <w:rFonts w:ascii="Garamond" w:hAnsi="Garamond"/>
              </w:rPr>
              <w:t xml:space="preserve">Any discussion or inquiry regarding the potential cost of items or services under consideration should be interpreted as a request for an estimate. </w:t>
            </w:r>
          </w:p>
          <w:p w14:paraId="75292AF0" w14:textId="77777777" w:rsidR="00D557AC" w:rsidRPr="00D557AC" w:rsidRDefault="00D557AC" w:rsidP="00D557AC">
            <w:pPr>
              <w:pStyle w:val="ListParagraph"/>
              <w:numPr>
                <w:ilvl w:val="0"/>
                <w:numId w:val="19"/>
              </w:numPr>
              <w:spacing w:after="0" w:line="240" w:lineRule="auto"/>
              <w:ind w:left="245" w:hanging="245"/>
              <w:rPr>
                <w:rFonts w:ascii="Garamond" w:hAnsi="Garamond"/>
              </w:rPr>
            </w:pPr>
            <w:r w:rsidRPr="00D557AC">
              <w:rPr>
                <w:rFonts w:ascii="Garamond" w:hAnsi="Garamond"/>
              </w:rPr>
              <w:t xml:space="preserve">The estimate must include the expected billing and diagnostic codes </w:t>
            </w:r>
            <w:r>
              <w:rPr>
                <w:rFonts w:ascii="Garamond" w:hAnsi="Garamond"/>
              </w:rPr>
              <w:t xml:space="preserve">and </w:t>
            </w:r>
            <w:r w:rsidRPr="00D557AC">
              <w:rPr>
                <w:rFonts w:ascii="Garamond" w:hAnsi="Garamond"/>
              </w:rPr>
              <w:t>the expected charge (cash pay rate) for each item or service, including any available discounts or other relevant adjustments.</w:t>
            </w:r>
          </w:p>
          <w:p w14:paraId="4761277B" w14:textId="77777777" w:rsidR="00D557AC" w:rsidRPr="006D5643" w:rsidRDefault="00D557AC" w:rsidP="00D557AC">
            <w:pPr>
              <w:pStyle w:val="ListParagraph"/>
              <w:numPr>
                <w:ilvl w:val="0"/>
                <w:numId w:val="19"/>
              </w:numPr>
              <w:spacing w:after="0" w:line="240" w:lineRule="auto"/>
              <w:ind w:left="246" w:hanging="246"/>
              <w:rPr>
                <w:rFonts w:ascii="Garamond" w:hAnsi="Garamond"/>
              </w:rPr>
            </w:pPr>
            <w:r w:rsidRPr="006D5643">
              <w:rPr>
                <w:rFonts w:ascii="Garamond" w:hAnsi="Garamond"/>
              </w:rPr>
              <w:t>The good faith estimate must encompass:</w:t>
            </w:r>
          </w:p>
          <w:p w14:paraId="753481E8" w14:textId="77777777" w:rsidR="00D557AC" w:rsidRPr="006D5643" w:rsidRDefault="00D557AC" w:rsidP="00D557AC">
            <w:pPr>
              <w:pStyle w:val="ListParagraph"/>
              <w:numPr>
                <w:ilvl w:val="0"/>
                <w:numId w:val="23"/>
              </w:numPr>
              <w:spacing w:after="0" w:line="240" w:lineRule="auto"/>
              <w:rPr>
                <w:rFonts w:ascii="Garamond" w:hAnsi="Garamond"/>
              </w:rPr>
            </w:pPr>
            <w:r>
              <w:rPr>
                <w:rFonts w:ascii="Garamond" w:hAnsi="Garamond"/>
              </w:rPr>
              <w:t>T</w:t>
            </w:r>
            <w:r w:rsidRPr="006D5643">
              <w:rPr>
                <w:rFonts w:ascii="Garamond" w:hAnsi="Garamond"/>
              </w:rPr>
              <w:t>he day</w:t>
            </w:r>
            <w:r>
              <w:rPr>
                <w:rFonts w:ascii="Garamond" w:hAnsi="Garamond"/>
              </w:rPr>
              <w:t>(s)</w:t>
            </w:r>
            <w:r w:rsidRPr="006D5643">
              <w:rPr>
                <w:rFonts w:ascii="Garamond" w:hAnsi="Garamond"/>
              </w:rPr>
              <w:t xml:space="preserve"> during which the primary item(s) or service(s) are delivered</w:t>
            </w:r>
            <w:r>
              <w:rPr>
                <w:rFonts w:ascii="Garamond" w:hAnsi="Garamond"/>
              </w:rPr>
              <w:t>.</w:t>
            </w:r>
          </w:p>
          <w:p w14:paraId="7A689485" w14:textId="77777777" w:rsidR="00D557AC" w:rsidRPr="006D5643" w:rsidRDefault="00D557AC" w:rsidP="00D557AC">
            <w:pPr>
              <w:pStyle w:val="ListParagraph"/>
              <w:numPr>
                <w:ilvl w:val="0"/>
                <w:numId w:val="23"/>
              </w:numPr>
              <w:spacing w:after="0" w:line="240" w:lineRule="auto"/>
              <w:rPr>
                <w:rFonts w:ascii="Garamond" w:hAnsi="Garamond"/>
              </w:rPr>
            </w:pPr>
            <w:r>
              <w:rPr>
                <w:rFonts w:ascii="Garamond" w:hAnsi="Garamond"/>
              </w:rPr>
              <w:t>Al</w:t>
            </w:r>
            <w:r w:rsidRPr="006D5643">
              <w:rPr>
                <w:rFonts w:ascii="Garamond" w:hAnsi="Garamond"/>
              </w:rPr>
              <w:t xml:space="preserve">l  items or services that are reasonably expected to be provided with the primary item or service, including those that may be provided by other providers and facilities (such as laboratory, imaging, pre- and post-operative services) that would not be scheduled separately.   </w:t>
            </w:r>
          </w:p>
          <w:p w14:paraId="0D402A1B" w14:textId="77777777" w:rsidR="00D557AC" w:rsidRDefault="00D557AC" w:rsidP="00D557AC">
            <w:pPr>
              <w:rPr>
                <w:sz w:val="22"/>
                <w:szCs w:val="22"/>
              </w:rPr>
            </w:pPr>
          </w:p>
          <w:p w14:paraId="008B9745" w14:textId="09A83EB0" w:rsidR="00D557AC" w:rsidRPr="006B15B8" w:rsidRDefault="00D557AC" w:rsidP="00D557AC">
            <w:pPr>
              <w:autoSpaceDE w:val="0"/>
              <w:autoSpaceDN w:val="0"/>
              <w:adjustRightInd w:val="0"/>
              <w:rPr>
                <w:sz w:val="22"/>
                <w:szCs w:val="22"/>
              </w:rPr>
            </w:pPr>
            <w:r w:rsidRPr="006B15B8">
              <w:rPr>
                <w:sz w:val="22"/>
                <w:szCs w:val="22"/>
              </w:rPr>
              <w:t>The  provider/facility that is responsible for scheduling the primary item or service or receives the initial request for a good faith estimate (“convening provider”) is responsible for:</w:t>
            </w:r>
          </w:p>
          <w:p w14:paraId="0636DBE1" w14:textId="77777777" w:rsidR="00D557AC" w:rsidRPr="006B15B8" w:rsidRDefault="00D557AC" w:rsidP="00D557AC">
            <w:pPr>
              <w:pStyle w:val="ListParagraph"/>
              <w:numPr>
                <w:ilvl w:val="0"/>
                <w:numId w:val="20"/>
              </w:numPr>
              <w:spacing w:after="0" w:line="240" w:lineRule="auto"/>
              <w:ind w:left="246" w:hanging="246"/>
              <w:rPr>
                <w:rFonts w:ascii="Garamond" w:hAnsi="Garamond"/>
              </w:rPr>
            </w:pPr>
            <w:r w:rsidRPr="006B15B8">
              <w:rPr>
                <w:rFonts w:ascii="Garamond" w:hAnsi="Garamond"/>
              </w:rPr>
              <w:t>Informing (verbally and in writing) uninsured and self-pay patients of the availability of a good faith estimate, using an accessible format and the language spoken by the individual</w:t>
            </w:r>
            <w:r w:rsidRPr="006B15B8">
              <w:rPr>
                <w:rStyle w:val="FootnoteReference"/>
                <w:rFonts w:ascii="Garamond" w:hAnsi="Garamond"/>
              </w:rPr>
              <w:footnoteReference w:id="5"/>
            </w:r>
            <w:r w:rsidRPr="006B15B8">
              <w:t xml:space="preserve">   </w:t>
            </w:r>
          </w:p>
          <w:p w14:paraId="071D2849" w14:textId="29C76588" w:rsidR="0072618B" w:rsidRDefault="00D557AC" w:rsidP="00D557AC">
            <w:pPr>
              <w:pStyle w:val="ListParagraph"/>
              <w:numPr>
                <w:ilvl w:val="0"/>
                <w:numId w:val="20"/>
              </w:numPr>
              <w:ind w:left="246" w:hanging="270"/>
              <w:rPr>
                <w:rFonts w:ascii="Garamond" w:hAnsi="Garamond"/>
              </w:rPr>
            </w:pPr>
            <w:r w:rsidRPr="00D557AC">
              <w:rPr>
                <w:rFonts w:ascii="Garamond" w:hAnsi="Garamond"/>
              </w:rPr>
              <w:lastRenderedPageBreak/>
              <w:t xml:space="preserve">Coordinating the estimates from all providers that will be involved in the delivery of relevant items or services to the patient and delivering the estimate to the patient. </w:t>
            </w:r>
            <w:r w:rsidRPr="00D557AC">
              <w:rPr>
                <w:rFonts w:ascii="Garamond" w:hAnsi="Garamond"/>
                <w:b/>
                <w:bCs/>
              </w:rPr>
              <w:t xml:space="preserve"> </w:t>
            </w:r>
            <w:r w:rsidR="0072618B" w:rsidRPr="00D557AC">
              <w:rPr>
                <w:rFonts w:ascii="Garamond" w:hAnsi="Garamond"/>
              </w:rPr>
              <w:t xml:space="preserve"> </w:t>
            </w:r>
          </w:p>
          <w:p w14:paraId="5615475E" w14:textId="36CDA3A0" w:rsidR="008D7632" w:rsidRPr="00D557AC" w:rsidRDefault="006D5643" w:rsidP="00D557AC">
            <w:pPr>
              <w:ind w:left="-24"/>
              <w:rPr>
                <w:sz w:val="22"/>
                <w:szCs w:val="22"/>
              </w:rPr>
            </w:pPr>
            <w:r w:rsidRPr="00D557AC">
              <w:rPr>
                <w:sz w:val="22"/>
                <w:szCs w:val="22"/>
              </w:rPr>
              <w:t xml:space="preserve">The </w:t>
            </w:r>
            <w:r w:rsidR="008D7632" w:rsidRPr="00D557AC">
              <w:rPr>
                <w:sz w:val="22"/>
                <w:szCs w:val="22"/>
              </w:rPr>
              <w:t>good faith estimate is considered part of a patient’s medical record.</w:t>
            </w:r>
          </w:p>
        </w:tc>
        <w:tc>
          <w:tcPr>
            <w:tcW w:w="2970" w:type="dxa"/>
          </w:tcPr>
          <w:p w14:paraId="34ED3131" w14:textId="77777777" w:rsidR="00D557AC" w:rsidRPr="00D557AC" w:rsidRDefault="0072618B" w:rsidP="00D557AC">
            <w:pPr>
              <w:rPr>
                <w:sz w:val="22"/>
                <w:szCs w:val="22"/>
              </w:rPr>
            </w:pPr>
            <w:r w:rsidRPr="00D557AC">
              <w:rPr>
                <w:sz w:val="22"/>
                <w:szCs w:val="22"/>
              </w:rPr>
              <w:lastRenderedPageBreak/>
              <w:t>HHS s</w:t>
            </w:r>
            <w:r w:rsidR="008D7632" w:rsidRPr="00D557AC">
              <w:rPr>
                <w:sz w:val="22"/>
                <w:szCs w:val="22"/>
              </w:rPr>
              <w:t>eek</w:t>
            </w:r>
            <w:r w:rsidRPr="00D557AC">
              <w:rPr>
                <w:sz w:val="22"/>
                <w:szCs w:val="22"/>
              </w:rPr>
              <w:t>s</w:t>
            </w:r>
            <w:r w:rsidR="008D7632" w:rsidRPr="00D557AC">
              <w:rPr>
                <w:sz w:val="22"/>
                <w:szCs w:val="22"/>
              </w:rPr>
              <w:t xml:space="preserve"> comment on</w:t>
            </w:r>
            <w:r w:rsidR="00D557AC" w:rsidRPr="00D557AC">
              <w:rPr>
                <w:sz w:val="22"/>
                <w:szCs w:val="22"/>
              </w:rPr>
              <w:t xml:space="preserve">: </w:t>
            </w:r>
            <w:r w:rsidR="008D7632" w:rsidRPr="00D557AC">
              <w:rPr>
                <w:sz w:val="22"/>
                <w:szCs w:val="22"/>
              </w:rPr>
              <w:t xml:space="preserve"> </w:t>
            </w:r>
          </w:p>
          <w:p w14:paraId="2C0657CB" w14:textId="37D3017F" w:rsidR="008D7632" w:rsidRPr="00D557AC" w:rsidRDefault="008D7632" w:rsidP="00D557AC">
            <w:pPr>
              <w:pStyle w:val="ListParagraph"/>
              <w:numPr>
                <w:ilvl w:val="0"/>
                <w:numId w:val="46"/>
              </w:numPr>
              <w:ind w:left="246" w:hanging="246"/>
              <w:rPr>
                <w:rFonts w:ascii="Garamond" w:hAnsi="Garamond"/>
              </w:rPr>
            </w:pPr>
            <w:r w:rsidRPr="00D557AC">
              <w:rPr>
                <w:rFonts w:ascii="Garamond" w:hAnsi="Garamond"/>
              </w:rPr>
              <w:t>whether provide</w:t>
            </w:r>
            <w:r w:rsidR="006D5643" w:rsidRPr="00D557AC">
              <w:rPr>
                <w:rFonts w:ascii="Garamond" w:hAnsi="Garamond"/>
              </w:rPr>
              <w:t>r</w:t>
            </w:r>
            <w:r w:rsidRPr="00D557AC">
              <w:rPr>
                <w:rFonts w:ascii="Garamond" w:hAnsi="Garamond"/>
              </w:rPr>
              <w:t xml:space="preserve">s should be required to include both the list price and discounted price for an item or service when discounts apply. </w:t>
            </w:r>
          </w:p>
          <w:p w14:paraId="49E945B6" w14:textId="77777777" w:rsidR="00D557AC" w:rsidRPr="00D557AC" w:rsidRDefault="00D557AC" w:rsidP="00D557AC">
            <w:pPr>
              <w:pStyle w:val="ListParagraph"/>
              <w:numPr>
                <w:ilvl w:val="0"/>
                <w:numId w:val="25"/>
              </w:numPr>
              <w:suppressAutoHyphens/>
              <w:autoSpaceDE w:val="0"/>
              <w:autoSpaceDN w:val="0"/>
              <w:adjustRightInd w:val="0"/>
              <w:spacing w:after="0" w:line="240" w:lineRule="auto"/>
              <w:ind w:left="246" w:hanging="246"/>
              <w:rPr>
                <w:rFonts w:ascii="Garamond" w:hAnsi="Garamond"/>
              </w:rPr>
            </w:pPr>
            <w:r w:rsidRPr="00D557AC">
              <w:rPr>
                <w:rFonts w:ascii="Garamond" w:hAnsi="Garamond"/>
              </w:rPr>
              <w:t xml:space="preserve">alternative options for informing uninsured/self-pay individuals of the availability of a good faith estimate. </w:t>
            </w:r>
          </w:p>
          <w:p w14:paraId="39CF7044" w14:textId="5134A509" w:rsidR="00D557AC" w:rsidRPr="00D557AC" w:rsidRDefault="002A3EE5" w:rsidP="00D557AC">
            <w:pPr>
              <w:pStyle w:val="ListParagraph"/>
              <w:numPr>
                <w:ilvl w:val="0"/>
                <w:numId w:val="25"/>
              </w:numPr>
              <w:suppressAutoHyphens/>
              <w:autoSpaceDE w:val="0"/>
              <w:autoSpaceDN w:val="0"/>
              <w:adjustRightInd w:val="0"/>
              <w:spacing w:after="0" w:line="240" w:lineRule="auto"/>
              <w:ind w:left="246" w:hanging="246"/>
              <w:rPr>
                <w:rFonts w:ascii="Garamond" w:hAnsi="Garamond"/>
              </w:rPr>
            </w:pPr>
            <w:r>
              <w:rPr>
                <w:rFonts w:ascii="Garamond" w:hAnsi="Garamond"/>
              </w:rPr>
              <w:t>c</w:t>
            </w:r>
            <w:r w:rsidR="00D557AC" w:rsidRPr="00D557AC">
              <w:rPr>
                <w:rFonts w:ascii="Garamond" w:hAnsi="Garamond"/>
              </w:rPr>
              <w:t xml:space="preserve">hallenges related to the secure transmission of good  faith estimate information between providers/facilities and whether any standardized processes exist, or could be developed, to facilitate the efficient transmission of this information. </w:t>
            </w:r>
          </w:p>
          <w:p w14:paraId="3BD12856" w14:textId="62C359E7" w:rsidR="008D7632" w:rsidRPr="002A3EE5" w:rsidRDefault="008D7632" w:rsidP="002A3EE5"/>
        </w:tc>
        <w:tc>
          <w:tcPr>
            <w:tcW w:w="2700" w:type="dxa"/>
          </w:tcPr>
          <w:p w14:paraId="62054707" w14:textId="77777777" w:rsidR="008D7632" w:rsidRPr="00BA1FB9" w:rsidRDefault="008D7632" w:rsidP="00D557AC">
            <w:pPr>
              <w:rPr>
                <w:sz w:val="22"/>
                <w:szCs w:val="22"/>
                <w:highlight w:val="yellow"/>
              </w:rPr>
            </w:pPr>
          </w:p>
        </w:tc>
      </w:tr>
      <w:tr w:rsidR="008D7632" w:rsidRPr="00BA1FB9" w14:paraId="6441CA33" w14:textId="77777777" w:rsidTr="005F0564">
        <w:trPr>
          <w:trHeight w:val="557"/>
        </w:trPr>
        <w:tc>
          <w:tcPr>
            <w:tcW w:w="1885" w:type="dxa"/>
          </w:tcPr>
          <w:p w14:paraId="29A5B234" w14:textId="77777777" w:rsidR="008D7632" w:rsidRDefault="008D7632" w:rsidP="008D7632">
            <w:pPr>
              <w:jc w:val="center"/>
              <w:rPr>
                <w:b/>
                <w:sz w:val="22"/>
                <w:szCs w:val="22"/>
              </w:rPr>
            </w:pPr>
            <w:r>
              <w:rPr>
                <w:b/>
                <w:sz w:val="22"/>
                <w:szCs w:val="22"/>
              </w:rPr>
              <w:t>Good Faith Estimates for Uninsured/Self-pay Patients</w:t>
            </w:r>
          </w:p>
          <w:p w14:paraId="54B23EB2" w14:textId="77777777" w:rsidR="008D7632" w:rsidRDefault="008D7632" w:rsidP="008D7632">
            <w:pPr>
              <w:jc w:val="center"/>
              <w:rPr>
                <w:b/>
                <w:sz w:val="22"/>
                <w:szCs w:val="22"/>
              </w:rPr>
            </w:pPr>
          </w:p>
          <w:p w14:paraId="551C0948" w14:textId="77777777" w:rsidR="008D7632" w:rsidRPr="00BA1FB9" w:rsidRDefault="008D7632" w:rsidP="008D7632">
            <w:pPr>
              <w:jc w:val="center"/>
              <w:rPr>
                <w:b/>
                <w:sz w:val="22"/>
                <w:szCs w:val="22"/>
              </w:rPr>
            </w:pPr>
            <w:r>
              <w:rPr>
                <w:b/>
                <w:sz w:val="22"/>
                <w:szCs w:val="22"/>
              </w:rPr>
              <w:t>Timelines</w:t>
            </w:r>
          </w:p>
          <w:p w14:paraId="2F9CE819" w14:textId="77777777" w:rsidR="008D7632" w:rsidRPr="00BA1FB9" w:rsidRDefault="008D7632" w:rsidP="008D7632">
            <w:pPr>
              <w:jc w:val="center"/>
              <w:rPr>
                <w:b/>
                <w:sz w:val="22"/>
                <w:szCs w:val="22"/>
              </w:rPr>
            </w:pPr>
          </w:p>
          <w:p w14:paraId="3180D1DD" w14:textId="77777777" w:rsidR="008D7632" w:rsidRPr="00BA1FB9" w:rsidRDefault="008D7632" w:rsidP="008D7632">
            <w:pPr>
              <w:jc w:val="center"/>
              <w:rPr>
                <w:b/>
                <w:sz w:val="22"/>
                <w:szCs w:val="22"/>
              </w:rPr>
            </w:pPr>
          </w:p>
        </w:tc>
        <w:tc>
          <w:tcPr>
            <w:tcW w:w="7020" w:type="dxa"/>
          </w:tcPr>
          <w:p w14:paraId="74C961B2" w14:textId="67FE01CA" w:rsidR="008D7632" w:rsidRPr="006B15B8" w:rsidRDefault="008D7632" w:rsidP="006B15B8">
            <w:pPr>
              <w:autoSpaceDE w:val="0"/>
              <w:autoSpaceDN w:val="0"/>
              <w:adjustRightInd w:val="0"/>
              <w:rPr>
                <w:sz w:val="22"/>
                <w:szCs w:val="22"/>
              </w:rPr>
            </w:pPr>
            <w:r w:rsidRPr="006B15B8">
              <w:rPr>
                <w:sz w:val="22"/>
                <w:szCs w:val="22"/>
              </w:rPr>
              <w:t xml:space="preserve">The convening provider must request good faith estimate information from all other relevant providers within one business day and must receive that information </w:t>
            </w:r>
            <w:r w:rsidR="006B15B8" w:rsidRPr="006B15B8">
              <w:rPr>
                <w:sz w:val="22"/>
                <w:szCs w:val="22"/>
              </w:rPr>
              <w:t xml:space="preserve">from the other providers </w:t>
            </w:r>
            <w:r w:rsidRPr="006B15B8">
              <w:rPr>
                <w:sz w:val="22"/>
                <w:szCs w:val="22"/>
              </w:rPr>
              <w:t xml:space="preserve">within one business day after making the request. </w:t>
            </w:r>
          </w:p>
          <w:p w14:paraId="16979434" w14:textId="77777777" w:rsidR="006B15B8" w:rsidRPr="006B15B8" w:rsidRDefault="006B15B8" w:rsidP="006B15B8">
            <w:pPr>
              <w:autoSpaceDE w:val="0"/>
              <w:autoSpaceDN w:val="0"/>
              <w:adjustRightInd w:val="0"/>
              <w:rPr>
                <w:sz w:val="22"/>
                <w:szCs w:val="22"/>
              </w:rPr>
            </w:pPr>
          </w:p>
          <w:p w14:paraId="66157A38" w14:textId="41CFD3F2" w:rsidR="006B15B8" w:rsidRDefault="008D7632" w:rsidP="006B15B8">
            <w:pPr>
              <w:autoSpaceDE w:val="0"/>
              <w:autoSpaceDN w:val="0"/>
              <w:adjustRightInd w:val="0"/>
            </w:pPr>
            <w:r w:rsidRPr="006B15B8">
              <w:rPr>
                <w:sz w:val="22"/>
                <w:szCs w:val="22"/>
              </w:rPr>
              <w:t xml:space="preserve">The complete good faith estimate must be given to the patient </w:t>
            </w:r>
            <w:r w:rsidR="006B15B8">
              <w:rPr>
                <w:sz w:val="22"/>
                <w:szCs w:val="22"/>
              </w:rPr>
              <w:t>w</w:t>
            </w:r>
            <w:r w:rsidRPr="006B15B8">
              <w:rPr>
                <w:sz w:val="22"/>
                <w:szCs w:val="22"/>
              </w:rPr>
              <w:t>ithin one business day for a scheduled service that will take place 3-9 days later</w:t>
            </w:r>
            <w:r w:rsidR="006B15B8" w:rsidRPr="006B15B8">
              <w:t xml:space="preserve"> and </w:t>
            </w:r>
            <w:r w:rsidR="006B15B8">
              <w:t>w</w:t>
            </w:r>
            <w:r w:rsidRPr="006B15B8">
              <w:rPr>
                <w:sz w:val="22"/>
                <w:szCs w:val="22"/>
              </w:rPr>
              <w:t>ithin three business days if the scheduled service will take place 10 or more days later or has not yet been scheduled</w:t>
            </w:r>
            <w:r w:rsidR="006B15B8">
              <w:t>.</w:t>
            </w:r>
          </w:p>
          <w:p w14:paraId="5D02B4B8" w14:textId="77777777" w:rsidR="002A3EE5" w:rsidRPr="006B15B8" w:rsidRDefault="002A3EE5" w:rsidP="006B15B8">
            <w:pPr>
              <w:autoSpaceDE w:val="0"/>
              <w:autoSpaceDN w:val="0"/>
              <w:adjustRightInd w:val="0"/>
            </w:pPr>
          </w:p>
          <w:p w14:paraId="35FFC967" w14:textId="1158071B" w:rsidR="008D7632" w:rsidRPr="006B15B8" w:rsidRDefault="008D7632" w:rsidP="006B15B8">
            <w:pPr>
              <w:autoSpaceDE w:val="0"/>
              <w:autoSpaceDN w:val="0"/>
              <w:adjustRightInd w:val="0"/>
              <w:rPr>
                <w:sz w:val="22"/>
                <w:szCs w:val="22"/>
              </w:rPr>
            </w:pPr>
            <w:r w:rsidRPr="006B15B8">
              <w:rPr>
                <w:rFonts w:cs="Times New Roman"/>
                <w:color w:val="000000"/>
                <w:sz w:val="22"/>
                <w:szCs w:val="22"/>
              </w:rPr>
              <w:t>A single estimate can be provided for recurring services (e.g. physical therapy) for a period up to 12 months.</w:t>
            </w:r>
          </w:p>
        </w:tc>
        <w:tc>
          <w:tcPr>
            <w:tcW w:w="2970" w:type="dxa"/>
          </w:tcPr>
          <w:p w14:paraId="578174CC" w14:textId="3EF8F0C3" w:rsidR="002A3EE5" w:rsidRPr="002A3EE5" w:rsidRDefault="002A3EE5" w:rsidP="002A3EE5">
            <w:pPr>
              <w:rPr>
                <w:sz w:val="22"/>
                <w:szCs w:val="22"/>
              </w:rPr>
            </w:pPr>
            <w:r w:rsidRPr="002A3EE5">
              <w:rPr>
                <w:sz w:val="22"/>
                <w:szCs w:val="22"/>
              </w:rPr>
              <w:t xml:space="preserve">HHS seeks comment on  How the sharing of information on expected charges between the  convening and other providers can be accomplished, given no established process exists.  </w:t>
            </w:r>
          </w:p>
          <w:p w14:paraId="30DE3E26" w14:textId="1C6A8EE7" w:rsidR="008D7632" w:rsidRPr="006B15B8" w:rsidRDefault="008D7632" w:rsidP="008D7632">
            <w:pPr>
              <w:pStyle w:val="ListParagraph"/>
              <w:suppressAutoHyphens/>
              <w:autoSpaceDE w:val="0"/>
              <w:autoSpaceDN w:val="0"/>
              <w:adjustRightInd w:val="0"/>
              <w:spacing w:after="0" w:line="240" w:lineRule="auto"/>
              <w:ind w:left="360"/>
              <w:rPr>
                <w:rFonts w:ascii="Garamond" w:hAnsi="Garamond"/>
              </w:rPr>
            </w:pPr>
          </w:p>
        </w:tc>
        <w:tc>
          <w:tcPr>
            <w:tcW w:w="2700" w:type="dxa"/>
          </w:tcPr>
          <w:p w14:paraId="59030774" w14:textId="77777777" w:rsidR="008D7632" w:rsidRPr="00BA1FB9" w:rsidRDefault="008D7632" w:rsidP="008D7632">
            <w:pPr>
              <w:suppressAutoHyphens/>
              <w:autoSpaceDE w:val="0"/>
              <w:autoSpaceDN w:val="0"/>
              <w:adjustRightInd w:val="0"/>
              <w:rPr>
                <w:sz w:val="22"/>
                <w:szCs w:val="22"/>
              </w:rPr>
            </w:pPr>
          </w:p>
        </w:tc>
      </w:tr>
      <w:tr w:rsidR="008D7632" w:rsidRPr="00BA1FB9" w14:paraId="0E7D89A8" w14:textId="70F6F0AA" w:rsidTr="00005CE9">
        <w:trPr>
          <w:trHeight w:val="440"/>
        </w:trPr>
        <w:tc>
          <w:tcPr>
            <w:tcW w:w="1885" w:type="dxa"/>
          </w:tcPr>
          <w:p w14:paraId="2250271F" w14:textId="77777777" w:rsidR="008D7632" w:rsidRDefault="008D7632" w:rsidP="008D7632">
            <w:pPr>
              <w:jc w:val="center"/>
              <w:rPr>
                <w:b/>
                <w:sz w:val="22"/>
                <w:szCs w:val="22"/>
              </w:rPr>
            </w:pPr>
            <w:r>
              <w:rPr>
                <w:b/>
                <w:sz w:val="22"/>
                <w:szCs w:val="22"/>
              </w:rPr>
              <w:t>Good Faith Estimates for Uninsured/Self-pay Patients</w:t>
            </w:r>
          </w:p>
          <w:p w14:paraId="3AC9B520" w14:textId="77777777" w:rsidR="008D7632" w:rsidRDefault="008D7632" w:rsidP="008D7632">
            <w:pPr>
              <w:jc w:val="center"/>
              <w:rPr>
                <w:rFonts w:eastAsia="Times New Roman" w:cs="Times New Roman"/>
                <w:b/>
                <w:bCs/>
                <w:sz w:val="22"/>
                <w:szCs w:val="22"/>
              </w:rPr>
            </w:pPr>
          </w:p>
          <w:p w14:paraId="283BB2C9" w14:textId="157A70E0" w:rsidR="008D7632" w:rsidRPr="00BA1FB9" w:rsidRDefault="008D7632" w:rsidP="008D7632">
            <w:pPr>
              <w:jc w:val="center"/>
              <w:rPr>
                <w:rFonts w:eastAsia="Times New Roman" w:cs="Times New Roman"/>
                <w:b/>
                <w:bCs/>
                <w:sz w:val="22"/>
                <w:szCs w:val="22"/>
              </w:rPr>
            </w:pPr>
            <w:r>
              <w:rPr>
                <w:rFonts w:eastAsia="Times New Roman" w:cs="Times New Roman"/>
                <w:b/>
                <w:bCs/>
                <w:sz w:val="22"/>
                <w:szCs w:val="22"/>
              </w:rPr>
              <w:t xml:space="preserve">Content of Estimate </w:t>
            </w:r>
          </w:p>
        </w:tc>
        <w:tc>
          <w:tcPr>
            <w:tcW w:w="7020" w:type="dxa"/>
          </w:tcPr>
          <w:p w14:paraId="6ED20C46" w14:textId="4ED07178" w:rsidR="008D7632" w:rsidRPr="00EE7286" w:rsidRDefault="008D7632" w:rsidP="008D7632">
            <w:pPr>
              <w:autoSpaceDE w:val="0"/>
              <w:autoSpaceDN w:val="0"/>
              <w:adjustRightInd w:val="0"/>
              <w:rPr>
                <w:sz w:val="22"/>
                <w:szCs w:val="22"/>
              </w:rPr>
            </w:pPr>
            <w:r w:rsidRPr="00EE7286">
              <w:rPr>
                <w:sz w:val="22"/>
                <w:szCs w:val="22"/>
              </w:rPr>
              <w:t>The estimate must be provided in writing, either on paper or electronically</w:t>
            </w:r>
            <w:r w:rsidR="002A3EE5">
              <w:rPr>
                <w:sz w:val="22"/>
                <w:szCs w:val="22"/>
              </w:rPr>
              <w:t xml:space="preserve"> </w:t>
            </w:r>
            <w:r w:rsidRPr="00EE7286">
              <w:rPr>
                <w:sz w:val="22"/>
                <w:szCs w:val="22"/>
              </w:rPr>
              <w:t>based on the patient’s preference</w:t>
            </w:r>
            <w:r w:rsidR="006B15B8">
              <w:rPr>
                <w:sz w:val="22"/>
                <w:szCs w:val="22"/>
              </w:rPr>
              <w:t>,</w:t>
            </w:r>
            <w:r w:rsidRPr="00EE7286">
              <w:rPr>
                <w:sz w:val="22"/>
                <w:szCs w:val="22"/>
              </w:rPr>
              <w:t xml:space="preserve"> and must include: </w:t>
            </w:r>
          </w:p>
          <w:p w14:paraId="1C0BA43D" w14:textId="3ADC6817" w:rsidR="008D7632" w:rsidRPr="00EE7286" w:rsidRDefault="008D7632" w:rsidP="00A0124D">
            <w:pPr>
              <w:pStyle w:val="ListParagraph"/>
              <w:numPr>
                <w:ilvl w:val="0"/>
                <w:numId w:val="24"/>
              </w:numPr>
              <w:autoSpaceDE w:val="0"/>
              <w:autoSpaceDN w:val="0"/>
              <w:adjustRightInd w:val="0"/>
              <w:spacing w:after="0" w:line="240" w:lineRule="auto"/>
              <w:ind w:left="246" w:hanging="246"/>
              <w:rPr>
                <w:rFonts w:ascii="Garamond" w:hAnsi="Garamond"/>
              </w:rPr>
            </w:pPr>
            <w:r w:rsidRPr="00EE7286">
              <w:rPr>
                <w:rFonts w:ascii="Garamond" w:hAnsi="Garamond"/>
              </w:rPr>
              <w:t>Patient’s name and date of birth</w:t>
            </w:r>
            <w:r w:rsidR="006B15B8">
              <w:rPr>
                <w:rFonts w:ascii="Garamond" w:hAnsi="Garamond"/>
              </w:rPr>
              <w:t>.</w:t>
            </w:r>
          </w:p>
          <w:p w14:paraId="05A8784D" w14:textId="133F46A2" w:rsidR="008D7632" w:rsidRPr="00EE7286" w:rsidRDefault="008D7632" w:rsidP="00A0124D">
            <w:pPr>
              <w:pStyle w:val="ListParagraph"/>
              <w:numPr>
                <w:ilvl w:val="0"/>
                <w:numId w:val="24"/>
              </w:numPr>
              <w:autoSpaceDE w:val="0"/>
              <w:autoSpaceDN w:val="0"/>
              <w:adjustRightInd w:val="0"/>
              <w:spacing w:after="0" w:line="240" w:lineRule="auto"/>
              <w:ind w:left="246" w:hanging="246"/>
              <w:rPr>
                <w:rFonts w:ascii="Garamond" w:hAnsi="Garamond"/>
              </w:rPr>
            </w:pPr>
            <w:r w:rsidRPr="00EE7286">
              <w:rPr>
                <w:rFonts w:ascii="Garamond" w:hAnsi="Garamond"/>
              </w:rPr>
              <w:t>Description of service</w:t>
            </w:r>
            <w:r w:rsidR="002A3EE5">
              <w:rPr>
                <w:rFonts w:ascii="Garamond" w:hAnsi="Garamond"/>
              </w:rPr>
              <w:t>(s)</w:t>
            </w:r>
            <w:r w:rsidRPr="00EE7286">
              <w:rPr>
                <w:rFonts w:ascii="Garamond" w:hAnsi="Garamond"/>
              </w:rPr>
              <w:t xml:space="preserve"> and date </w:t>
            </w:r>
            <w:r w:rsidR="006B15B8">
              <w:rPr>
                <w:rFonts w:ascii="Garamond" w:hAnsi="Garamond"/>
              </w:rPr>
              <w:t xml:space="preserve">the </w:t>
            </w:r>
            <w:r w:rsidRPr="00EE7286">
              <w:rPr>
                <w:rFonts w:ascii="Garamond" w:hAnsi="Garamond"/>
              </w:rPr>
              <w:t>primary services are scheduled</w:t>
            </w:r>
            <w:r w:rsidR="006B15B8">
              <w:rPr>
                <w:rFonts w:ascii="Garamond" w:hAnsi="Garamond"/>
              </w:rPr>
              <w:t>.</w:t>
            </w:r>
          </w:p>
          <w:p w14:paraId="68A14E60" w14:textId="26C4235E" w:rsidR="008D7632" w:rsidRPr="00EE7286" w:rsidRDefault="008D7632" w:rsidP="00A0124D">
            <w:pPr>
              <w:pStyle w:val="ListParagraph"/>
              <w:numPr>
                <w:ilvl w:val="0"/>
                <w:numId w:val="24"/>
              </w:numPr>
              <w:autoSpaceDE w:val="0"/>
              <w:autoSpaceDN w:val="0"/>
              <w:adjustRightInd w:val="0"/>
              <w:spacing w:after="0" w:line="240" w:lineRule="auto"/>
              <w:ind w:left="246" w:hanging="246"/>
              <w:rPr>
                <w:rFonts w:ascii="Garamond" w:hAnsi="Garamond"/>
              </w:rPr>
            </w:pPr>
            <w:r w:rsidRPr="00EE7286">
              <w:rPr>
                <w:rFonts w:ascii="Garamond" w:hAnsi="Garamond"/>
              </w:rPr>
              <w:t xml:space="preserve">Itemized list of services, grouped by provider or facility, reasonably expected to be provided in conjunction with the primary services for that period of care, </w:t>
            </w:r>
            <w:r w:rsidR="006B15B8">
              <w:rPr>
                <w:rFonts w:ascii="Garamond" w:hAnsi="Garamond"/>
              </w:rPr>
              <w:t xml:space="preserve">with </w:t>
            </w:r>
            <w:r>
              <w:rPr>
                <w:rFonts w:ascii="Garamond" w:hAnsi="Garamond"/>
              </w:rPr>
              <w:t>a</w:t>
            </w:r>
            <w:r w:rsidRPr="00EE7286">
              <w:rPr>
                <w:rFonts w:ascii="Garamond" w:hAnsi="Garamond"/>
              </w:rPr>
              <w:t xml:space="preserve">pplicable diagnosis </w:t>
            </w:r>
            <w:r>
              <w:rPr>
                <w:rFonts w:ascii="Garamond" w:hAnsi="Garamond"/>
              </w:rPr>
              <w:t xml:space="preserve">and </w:t>
            </w:r>
            <w:r w:rsidRPr="00EE7286">
              <w:rPr>
                <w:rFonts w:ascii="Garamond" w:hAnsi="Garamond"/>
              </w:rPr>
              <w:t xml:space="preserve">service codes, and </w:t>
            </w:r>
            <w:r w:rsidR="006B15B8">
              <w:rPr>
                <w:rFonts w:ascii="Garamond" w:hAnsi="Garamond"/>
              </w:rPr>
              <w:t xml:space="preserve">the </w:t>
            </w:r>
            <w:r w:rsidRPr="00EE7286">
              <w:rPr>
                <w:rFonts w:ascii="Garamond" w:hAnsi="Garamond"/>
              </w:rPr>
              <w:t>charges associated with each service</w:t>
            </w:r>
            <w:r w:rsidR="006B15B8">
              <w:rPr>
                <w:rFonts w:ascii="Garamond" w:hAnsi="Garamond"/>
              </w:rPr>
              <w:t>.</w:t>
            </w:r>
          </w:p>
          <w:p w14:paraId="0F48A00E" w14:textId="38C4E60D" w:rsidR="008D7632" w:rsidRPr="002A3EE5" w:rsidRDefault="008D7632" w:rsidP="002A3EE5">
            <w:pPr>
              <w:pStyle w:val="ListParagraph"/>
              <w:numPr>
                <w:ilvl w:val="0"/>
                <w:numId w:val="24"/>
              </w:numPr>
              <w:autoSpaceDE w:val="0"/>
              <w:autoSpaceDN w:val="0"/>
              <w:adjustRightInd w:val="0"/>
              <w:spacing w:after="0" w:line="240" w:lineRule="auto"/>
              <w:ind w:left="246" w:hanging="246"/>
              <w:rPr>
                <w:rFonts w:ascii="Garamond" w:hAnsi="Garamond"/>
              </w:rPr>
            </w:pPr>
            <w:r w:rsidRPr="002A3EE5">
              <w:rPr>
                <w:rFonts w:ascii="Garamond" w:hAnsi="Garamond"/>
              </w:rPr>
              <w:t xml:space="preserve">Name, </w:t>
            </w:r>
            <w:r w:rsidR="006B15B8" w:rsidRPr="002A3EE5">
              <w:rPr>
                <w:rFonts w:ascii="Garamond" w:hAnsi="Garamond"/>
              </w:rPr>
              <w:t>the National Provider Identifier number</w:t>
            </w:r>
            <w:r w:rsidRPr="002A3EE5">
              <w:rPr>
                <w:rFonts w:ascii="Garamond" w:hAnsi="Garamond"/>
              </w:rPr>
              <w:t xml:space="preserve"> and </w:t>
            </w:r>
            <w:r w:rsidR="006B15B8" w:rsidRPr="002A3EE5">
              <w:rPr>
                <w:rFonts w:ascii="Garamond" w:hAnsi="Garamond"/>
              </w:rPr>
              <w:t>Tax Identification Number o</w:t>
            </w:r>
            <w:r w:rsidRPr="002A3EE5">
              <w:rPr>
                <w:rFonts w:ascii="Garamond" w:hAnsi="Garamond"/>
              </w:rPr>
              <w:t>f each provider</w:t>
            </w:r>
            <w:r w:rsidR="006B15B8" w:rsidRPr="002A3EE5">
              <w:rPr>
                <w:rFonts w:ascii="Garamond" w:hAnsi="Garamond"/>
              </w:rPr>
              <w:t>, a</w:t>
            </w:r>
            <w:r w:rsidRPr="002A3EE5">
              <w:rPr>
                <w:rFonts w:ascii="Garamond" w:hAnsi="Garamond"/>
              </w:rPr>
              <w:t>nd</w:t>
            </w:r>
            <w:r w:rsidRPr="002A3EE5">
              <w:t xml:space="preserve"> </w:t>
            </w:r>
            <w:r w:rsidR="006B15B8" w:rsidRPr="002A3EE5">
              <w:rPr>
                <w:rFonts w:ascii="Garamond" w:hAnsi="Garamond"/>
              </w:rPr>
              <w:t xml:space="preserve">the </w:t>
            </w:r>
            <w:r w:rsidRPr="002A3EE5">
              <w:rPr>
                <w:rFonts w:ascii="Garamond" w:hAnsi="Garamond"/>
              </w:rPr>
              <w:t>state and facility location</w:t>
            </w:r>
            <w:r w:rsidR="006B15B8" w:rsidRPr="002A3EE5">
              <w:rPr>
                <w:rFonts w:ascii="Garamond" w:hAnsi="Garamond"/>
              </w:rPr>
              <w:t>(s)</w:t>
            </w:r>
            <w:r w:rsidRPr="002A3EE5">
              <w:rPr>
                <w:rFonts w:ascii="Garamond" w:hAnsi="Garamond"/>
              </w:rPr>
              <w:t xml:space="preserve"> where care will be provided</w:t>
            </w:r>
            <w:r w:rsidR="006B15B8" w:rsidRPr="002A3EE5">
              <w:rPr>
                <w:rFonts w:ascii="Garamond" w:hAnsi="Garamond"/>
              </w:rPr>
              <w:t>.</w:t>
            </w:r>
          </w:p>
          <w:p w14:paraId="7030F121" w14:textId="736A7E24" w:rsidR="008D7632" w:rsidRPr="00EE7286" w:rsidRDefault="008D7632" w:rsidP="00A0124D">
            <w:pPr>
              <w:pStyle w:val="ListParagraph"/>
              <w:numPr>
                <w:ilvl w:val="0"/>
                <w:numId w:val="24"/>
              </w:numPr>
              <w:autoSpaceDE w:val="0"/>
              <w:autoSpaceDN w:val="0"/>
              <w:adjustRightInd w:val="0"/>
              <w:spacing w:after="0" w:line="240" w:lineRule="auto"/>
              <w:ind w:left="246" w:hanging="246"/>
              <w:rPr>
                <w:rFonts w:ascii="Garamond" w:hAnsi="Garamond"/>
              </w:rPr>
            </w:pPr>
            <w:r w:rsidRPr="00EE7286">
              <w:rPr>
                <w:rFonts w:ascii="Garamond" w:hAnsi="Garamond"/>
              </w:rPr>
              <w:t xml:space="preserve">List of services that </w:t>
            </w:r>
            <w:r>
              <w:rPr>
                <w:rFonts w:ascii="Garamond" w:hAnsi="Garamond"/>
              </w:rPr>
              <w:t xml:space="preserve">the </w:t>
            </w:r>
            <w:r w:rsidRPr="00EE7286">
              <w:rPr>
                <w:rFonts w:ascii="Garamond" w:hAnsi="Garamond"/>
              </w:rPr>
              <w:t>convening provider anticipates will require separate scheduling</w:t>
            </w:r>
            <w:r w:rsidR="006B15B8">
              <w:rPr>
                <w:rFonts w:ascii="Garamond" w:hAnsi="Garamond"/>
              </w:rPr>
              <w:t>.</w:t>
            </w:r>
            <w:r w:rsidRPr="00EE7286">
              <w:rPr>
                <w:rFonts w:ascii="Garamond" w:hAnsi="Garamond"/>
              </w:rPr>
              <w:t xml:space="preserve"> </w:t>
            </w:r>
          </w:p>
          <w:p w14:paraId="25C9362A" w14:textId="64BA25CB" w:rsidR="008D7632" w:rsidRDefault="006B15B8" w:rsidP="00A0124D">
            <w:pPr>
              <w:pStyle w:val="ListParagraph"/>
              <w:numPr>
                <w:ilvl w:val="0"/>
                <w:numId w:val="24"/>
              </w:numPr>
              <w:autoSpaceDE w:val="0"/>
              <w:autoSpaceDN w:val="0"/>
              <w:adjustRightInd w:val="0"/>
              <w:spacing w:after="0" w:line="240" w:lineRule="auto"/>
              <w:ind w:left="246" w:hanging="246"/>
            </w:pPr>
            <w:r>
              <w:rPr>
                <w:rFonts w:ascii="Garamond" w:hAnsi="Garamond"/>
              </w:rPr>
              <w:t>Certain d</w:t>
            </w:r>
            <w:r w:rsidR="008D7632" w:rsidRPr="00EE7286">
              <w:rPr>
                <w:rFonts w:ascii="Garamond" w:hAnsi="Garamond"/>
              </w:rPr>
              <w:t xml:space="preserve">isclaimers </w:t>
            </w:r>
            <w:r w:rsidR="008D7632">
              <w:rPr>
                <w:rFonts w:ascii="Garamond" w:hAnsi="Garamond"/>
              </w:rPr>
              <w:t>that</w:t>
            </w:r>
            <w:r w:rsidR="008D7632" w:rsidRPr="00EE7286">
              <w:rPr>
                <w:rFonts w:ascii="Garamond" w:hAnsi="Garamond"/>
              </w:rPr>
              <w:t xml:space="preserve"> </w:t>
            </w:r>
            <w:r>
              <w:rPr>
                <w:rFonts w:ascii="Garamond" w:hAnsi="Garamond"/>
              </w:rPr>
              <w:t xml:space="preserve">indicate that </w:t>
            </w:r>
            <w:r w:rsidR="008D7632" w:rsidRPr="00EE7286">
              <w:rPr>
                <w:rFonts w:ascii="Garamond" w:hAnsi="Garamond"/>
              </w:rPr>
              <w:t>additional services may be recommended as part of the course of care that are not reflected</w:t>
            </w:r>
            <w:r>
              <w:rPr>
                <w:rFonts w:ascii="Garamond" w:hAnsi="Garamond"/>
              </w:rPr>
              <w:t xml:space="preserve"> in the </w:t>
            </w:r>
            <w:r>
              <w:rPr>
                <w:rFonts w:ascii="Garamond" w:hAnsi="Garamond"/>
              </w:rPr>
              <w:lastRenderedPageBreak/>
              <w:t>estimate</w:t>
            </w:r>
            <w:r w:rsidR="008D7632">
              <w:rPr>
                <w:rFonts w:ascii="Garamond" w:hAnsi="Garamond"/>
              </w:rPr>
              <w:t>;</w:t>
            </w:r>
            <w:r w:rsidR="008D7632" w:rsidRPr="00EE7286">
              <w:rPr>
                <w:rFonts w:ascii="Garamond" w:hAnsi="Garamond"/>
              </w:rPr>
              <w:t xml:space="preserve"> the </w:t>
            </w:r>
            <w:r>
              <w:rPr>
                <w:rFonts w:ascii="Garamond" w:hAnsi="Garamond"/>
              </w:rPr>
              <w:t xml:space="preserve">estimate </w:t>
            </w:r>
            <w:r w:rsidR="008D7632" w:rsidRPr="00EE7286">
              <w:rPr>
                <w:rFonts w:ascii="Garamond" w:hAnsi="Garamond"/>
              </w:rPr>
              <w:t>is not a contract</w:t>
            </w:r>
            <w:r w:rsidR="008D7632">
              <w:rPr>
                <w:rFonts w:ascii="Garamond" w:hAnsi="Garamond"/>
              </w:rPr>
              <w:t>; and</w:t>
            </w:r>
            <w:r w:rsidR="008D7632" w:rsidRPr="00EE7286">
              <w:rPr>
                <w:rFonts w:ascii="Garamond" w:hAnsi="Garamond"/>
              </w:rPr>
              <w:t xml:space="preserve"> the patient’s right to initiate a dispute resolution process</w:t>
            </w:r>
            <w:r w:rsidR="008D7632" w:rsidRPr="00EE7286">
              <w:t>.</w:t>
            </w:r>
          </w:p>
          <w:p w14:paraId="5448DB26" w14:textId="77777777" w:rsidR="006B15B8" w:rsidRDefault="006B15B8" w:rsidP="006B15B8">
            <w:pPr>
              <w:pStyle w:val="ListParagraph"/>
              <w:autoSpaceDE w:val="0"/>
              <w:autoSpaceDN w:val="0"/>
              <w:adjustRightInd w:val="0"/>
              <w:spacing w:after="0" w:line="240" w:lineRule="auto"/>
              <w:ind w:left="246"/>
            </w:pPr>
          </w:p>
          <w:p w14:paraId="1546A017" w14:textId="7B929AA8" w:rsidR="008D7632" w:rsidRPr="00005CE9" w:rsidRDefault="008D7632" w:rsidP="002A3EE5">
            <w:pPr>
              <w:autoSpaceDE w:val="0"/>
              <w:autoSpaceDN w:val="0"/>
              <w:adjustRightInd w:val="0"/>
              <w:rPr>
                <w:sz w:val="22"/>
                <w:szCs w:val="22"/>
              </w:rPr>
            </w:pPr>
            <w:r w:rsidRPr="00005CE9">
              <w:rPr>
                <w:sz w:val="22"/>
                <w:szCs w:val="22"/>
              </w:rPr>
              <w:t>The estimate does not have to include charges for unanticipated items or services that are not reasonably</w:t>
            </w:r>
            <w:r>
              <w:rPr>
                <w:sz w:val="22"/>
                <w:szCs w:val="22"/>
              </w:rPr>
              <w:t xml:space="preserve"> </w:t>
            </w:r>
            <w:r w:rsidRPr="00005CE9">
              <w:rPr>
                <w:sz w:val="22"/>
                <w:szCs w:val="22"/>
              </w:rPr>
              <w:t>expected.</w:t>
            </w:r>
          </w:p>
        </w:tc>
        <w:tc>
          <w:tcPr>
            <w:tcW w:w="2970" w:type="dxa"/>
          </w:tcPr>
          <w:p w14:paraId="63B03366" w14:textId="77777777" w:rsidR="008D7632" w:rsidRDefault="008D7632" w:rsidP="008D7632">
            <w:pPr>
              <w:suppressAutoHyphens/>
              <w:autoSpaceDE w:val="0"/>
              <w:autoSpaceDN w:val="0"/>
              <w:adjustRightInd w:val="0"/>
              <w:rPr>
                <w:sz w:val="22"/>
                <w:szCs w:val="22"/>
              </w:rPr>
            </w:pPr>
            <w:r>
              <w:rPr>
                <w:sz w:val="22"/>
                <w:szCs w:val="22"/>
              </w:rPr>
              <w:lastRenderedPageBreak/>
              <w:t>HHS seeks comment on:</w:t>
            </w:r>
          </w:p>
          <w:p w14:paraId="75B774E7" w14:textId="798AF0F0" w:rsidR="008D7632" w:rsidRDefault="008D7632" w:rsidP="00A0124D">
            <w:pPr>
              <w:pStyle w:val="ListParagraph"/>
              <w:numPr>
                <w:ilvl w:val="0"/>
                <w:numId w:val="26"/>
              </w:numPr>
              <w:suppressAutoHyphens/>
              <w:autoSpaceDE w:val="0"/>
              <w:autoSpaceDN w:val="0"/>
              <w:adjustRightInd w:val="0"/>
              <w:spacing w:after="0" w:line="240" w:lineRule="auto"/>
              <w:ind w:left="246" w:hanging="246"/>
              <w:rPr>
                <w:rFonts w:ascii="Garamond" w:hAnsi="Garamond" w:cs="Arial"/>
                <w:color w:val="000000" w:themeColor="text1"/>
              </w:rPr>
            </w:pPr>
            <w:r w:rsidRPr="00831060">
              <w:rPr>
                <w:rFonts w:ascii="Garamond" w:hAnsi="Garamond"/>
              </w:rPr>
              <w:t>the benefits, challenges and resources that could facilitate provision of an expanded good faith estimate</w:t>
            </w:r>
            <w:r w:rsidR="006B15B8">
              <w:rPr>
                <w:rFonts w:ascii="Garamond" w:hAnsi="Garamond"/>
              </w:rPr>
              <w:t xml:space="preserve">, which </w:t>
            </w:r>
            <w:r w:rsidRPr="00831060">
              <w:rPr>
                <w:rFonts w:ascii="Garamond" w:hAnsi="Garamond"/>
              </w:rPr>
              <w:t xml:space="preserve"> </w:t>
            </w:r>
            <w:r w:rsidR="006B15B8">
              <w:rPr>
                <w:rFonts w:ascii="Garamond" w:hAnsi="Garamond"/>
              </w:rPr>
              <w:t>c</w:t>
            </w:r>
            <w:r w:rsidRPr="00831060">
              <w:rPr>
                <w:rFonts w:ascii="Garamond" w:hAnsi="Garamond"/>
              </w:rPr>
              <w:t>ould include expected charges for items and services that are anticipated to be furnished prior to or following the period of care for the primary item or service</w:t>
            </w:r>
            <w:r w:rsidR="006B15B8">
              <w:rPr>
                <w:rFonts w:ascii="Garamond" w:hAnsi="Garamond"/>
              </w:rPr>
              <w:t xml:space="preserve">, </w:t>
            </w:r>
            <w:r w:rsidRPr="00831060">
              <w:rPr>
                <w:rFonts w:ascii="Garamond" w:hAnsi="Garamond"/>
              </w:rPr>
              <w:t xml:space="preserve">but </w:t>
            </w:r>
            <w:r w:rsidR="006B15B8">
              <w:rPr>
                <w:rFonts w:ascii="Garamond" w:hAnsi="Garamond"/>
              </w:rPr>
              <w:t>which</w:t>
            </w:r>
            <w:r w:rsidRPr="00831060">
              <w:rPr>
                <w:rFonts w:ascii="Garamond" w:hAnsi="Garamond"/>
              </w:rPr>
              <w:t xml:space="preserve"> require separate scheduling by the individual.</w:t>
            </w:r>
          </w:p>
          <w:p w14:paraId="51784861" w14:textId="6B960FA5" w:rsidR="008D7632" w:rsidRPr="000B706D" w:rsidRDefault="006B15B8" w:rsidP="002A3EE5">
            <w:pPr>
              <w:pStyle w:val="ListParagraph"/>
              <w:numPr>
                <w:ilvl w:val="0"/>
                <w:numId w:val="26"/>
              </w:numPr>
              <w:suppressAutoHyphens/>
              <w:autoSpaceDE w:val="0"/>
              <w:autoSpaceDN w:val="0"/>
              <w:adjustRightInd w:val="0"/>
              <w:spacing w:after="0" w:line="240" w:lineRule="auto"/>
              <w:ind w:left="246" w:hanging="246"/>
            </w:pPr>
            <w:r>
              <w:rPr>
                <w:rFonts w:ascii="Garamond" w:hAnsi="Garamond" w:cs="Arial"/>
                <w:color w:val="000000" w:themeColor="text1"/>
              </w:rPr>
              <w:t>h</w:t>
            </w:r>
            <w:r w:rsidR="008D7632">
              <w:rPr>
                <w:rFonts w:ascii="Garamond" w:hAnsi="Garamond" w:cs="Arial"/>
                <w:color w:val="000000" w:themeColor="text1"/>
              </w:rPr>
              <w:t xml:space="preserve">ow the </w:t>
            </w:r>
            <w:r w:rsidR="002A3EE5">
              <w:rPr>
                <w:rFonts w:ascii="Garamond" w:hAnsi="Garamond" w:cs="Arial"/>
                <w:color w:val="000000" w:themeColor="text1"/>
              </w:rPr>
              <w:t xml:space="preserve">requirements under the </w:t>
            </w:r>
            <w:hyperlink r:id="rId16" w:history="1">
              <w:r w:rsidR="008D7632" w:rsidRPr="002A3EE5">
                <w:rPr>
                  <w:rStyle w:val="Hyperlink"/>
                  <w:rFonts w:ascii="Garamond" w:hAnsi="Garamond" w:cs="Arial"/>
                </w:rPr>
                <w:t>Hos</w:t>
              </w:r>
              <w:r w:rsidR="008D7632" w:rsidRPr="002A3EE5">
                <w:rPr>
                  <w:rStyle w:val="Hyperlink"/>
                  <w:rFonts w:ascii="Garamond" w:hAnsi="Garamond" w:cs="Arial"/>
                </w:rPr>
                <w:t>p</w:t>
              </w:r>
              <w:r w:rsidR="008D7632" w:rsidRPr="002A3EE5">
                <w:rPr>
                  <w:rStyle w:val="Hyperlink"/>
                  <w:rFonts w:ascii="Garamond" w:hAnsi="Garamond" w:cs="Arial"/>
                </w:rPr>
                <w:t xml:space="preserve">ital Price </w:t>
              </w:r>
              <w:r w:rsidR="002A3EE5" w:rsidRPr="002A3EE5">
                <w:rPr>
                  <w:rStyle w:val="Hyperlink"/>
                  <w:rFonts w:ascii="Garamond" w:hAnsi="Garamond" w:cs="Arial"/>
                </w:rPr>
                <w:t>Disclosure</w:t>
              </w:r>
              <w:r w:rsidR="008D7632" w:rsidRPr="002A3EE5">
                <w:rPr>
                  <w:rStyle w:val="Hyperlink"/>
                  <w:rFonts w:ascii="Garamond" w:hAnsi="Garamond" w:cs="Arial"/>
                </w:rPr>
                <w:t xml:space="preserve"> </w:t>
              </w:r>
              <w:r w:rsidR="002A3EE5" w:rsidRPr="002A3EE5">
                <w:rPr>
                  <w:rStyle w:val="Hyperlink"/>
                  <w:rFonts w:ascii="Garamond" w:hAnsi="Garamond" w:cs="Arial"/>
                </w:rPr>
                <w:t>final rule</w:t>
              </w:r>
            </w:hyperlink>
            <w:r w:rsidR="002A3EE5">
              <w:rPr>
                <w:rFonts w:ascii="Garamond" w:hAnsi="Garamond" w:cs="Arial"/>
                <w:color w:val="000000" w:themeColor="text1"/>
              </w:rPr>
              <w:t xml:space="preserve"> f</w:t>
            </w:r>
            <w:r w:rsidR="008D7632">
              <w:rPr>
                <w:rFonts w:ascii="Garamond" w:hAnsi="Garamond" w:cs="Arial"/>
                <w:color w:val="000000" w:themeColor="text1"/>
              </w:rPr>
              <w:t xml:space="preserve">or the posting of </w:t>
            </w:r>
            <w:r w:rsidR="008D7632">
              <w:rPr>
                <w:rFonts w:ascii="Garamond" w:hAnsi="Garamond" w:cs="Arial"/>
                <w:color w:val="000000" w:themeColor="text1"/>
              </w:rPr>
              <w:lastRenderedPageBreak/>
              <w:t xml:space="preserve">standard charges might be leveraged to provide the good faith estimate. </w:t>
            </w:r>
            <w:r w:rsidR="008D7632" w:rsidRPr="00831060">
              <w:rPr>
                <w:rFonts w:ascii="Garamond" w:hAnsi="Garamond" w:cs="Arial"/>
                <w:color w:val="000000" w:themeColor="text1"/>
              </w:rPr>
              <w:t xml:space="preserve">  </w:t>
            </w:r>
          </w:p>
        </w:tc>
        <w:tc>
          <w:tcPr>
            <w:tcW w:w="2700" w:type="dxa"/>
          </w:tcPr>
          <w:p w14:paraId="4C7B9787" w14:textId="77777777" w:rsidR="008D7632" w:rsidRPr="000B706D" w:rsidRDefault="008D7632" w:rsidP="008D7632">
            <w:pPr>
              <w:suppressAutoHyphens/>
              <w:autoSpaceDE w:val="0"/>
              <w:autoSpaceDN w:val="0"/>
              <w:adjustRightInd w:val="0"/>
              <w:rPr>
                <w:sz w:val="22"/>
                <w:szCs w:val="22"/>
              </w:rPr>
            </w:pPr>
          </w:p>
        </w:tc>
      </w:tr>
      <w:tr w:rsidR="008D7632" w:rsidRPr="00BA1FB9" w14:paraId="676DFE15" w14:textId="048C9DA9" w:rsidTr="00975A0B">
        <w:trPr>
          <w:trHeight w:val="2060"/>
        </w:trPr>
        <w:tc>
          <w:tcPr>
            <w:tcW w:w="1885" w:type="dxa"/>
          </w:tcPr>
          <w:p w14:paraId="683F51E9" w14:textId="77777777" w:rsidR="006B15B8" w:rsidRDefault="006B15B8" w:rsidP="006B15B8">
            <w:pPr>
              <w:jc w:val="center"/>
              <w:rPr>
                <w:b/>
                <w:sz w:val="22"/>
                <w:szCs w:val="22"/>
              </w:rPr>
            </w:pPr>
            <w:r>
              <w:rPr>
                <w:b/>
                <w:sz w:val="22"/>
                <w:szCs w:val="22"/>
              </w:rPr>
              <w:t>Good Faith Estimates for Uninsured/Self-pay Patients</w:t>
            </w:r>
          </w:p>
          <w:p w14:paraId="1B7F636D" w14:textId="77777777" w:rsidR="006B15B8" w:rsidRDefault="006B15B8" w:rsidP="008D7632">
            <w:pPr>
              <w:jc w:val="center"/>
              <w:rPr>
                <w:b/>
                <w:sz w:val="22"/>
                <w:szCs w:val="22"/>
              </w:rPr>
            </w:pPr>
          </w:p>
          <w:p w14:paraId="23D3EC93" w14:textId="60363AEC" w:rsidR="008D7632" w:rsidRPr="00CC61C1" w:rsidRDefault="008D7632" w:rsidP="008D7632">
            <w:pPr>
              <w:jc w:val="center"/>
              <w:rPr>
                <w:b/>
                <w:sz w:val="22"/>
                <w:szCs w:val="22"/>
              </w:rPr>
            </w:pPr>
            <w:r w:rsidRPr="00CC61C1">
              <w:rPr>
                <w:b/>
                <w:sz w:val="22"/>
                <w:szCs w:val="22"/>
              </w:rPr>
              <w:t>Patient-Provider Dispute Resolution Process</w:t>
            </w:r>
          </w:p>
        </w:tc>
        <w:tc>
          <w:tcPr>
            <w:tcW w:w="7020" w:type="dxa"/>
          </w:tcPr>
          <w:p w14:paraId="320F9AF9" w14:textId="77777777" w:rsidR="008D7632" w:rsidRPr="00CC61C1" w:rsidRDefault="008D7632" w:rsidP="008D7632">
            <w:pPr>
              <w:pStyle w:val="ListParagraph"/>
              <w:spacing w:after="0" w:line="240" w:lineRule="auto"/>
              <w:ind w:left="0"/>
              <w:rPr>
                <w:rFonts w:ascii="Garamond" w:hAnsi="Garamond"/>
              </w:rPr>
            </w:pPr>
            <w:r w:rsidRPr="00CC61C1">
              <w:rPr>
                <w:rFonts w:ascii="Garamond" w:hAnsi="Garamond"/>
              </w:rPr>
              <w:t xml:space="preserve">Patients may initiate a dispute resolution process if the total billed charge for a particular provider/facility is at least $400 higher than the combined good faith estimates of charges for that provider/facility. </w:t>
            </w:r>
          </w:p>
          <w:p w14:paraId="782148D4" w14:textId="01161176" w:rsidR="008D7632" w:rsidRPr="00CC61C1" w:rsidRDefault="008D7632" w:rsidP="00A0124D">
            <w:pPr>
              <w:pStyle w:val="ListParagraph"/>
              <w:numPr>
                <w:ilvl w:val="0"/>
                <w:numId w:val="27"/>
              </w:numPr>
              <w:spacing w:after="0" w:line="240" w:lineRule="auto"/>
              <w:ind w:left="246" w:hanging="270"/>
              <w:rPr>
                <w:rFonts w:ascii="Garamond" w:hAnsi="Garamond"/>
              </w:rPr>
            </w:pPr>
            <w:r w:rsidRPr="00CC61C1">
              <w:rPr>
                <w:rFonts w:ascii="Garamond" w:hAnsi="Garamond"/>
              </w:rPr>
              <w:t>Patients will have 120 days from the receipt of a bill to request dispute resolution</w:t>
            </w:r>
            <w:r w:rsidR="006B15B8">
              <w:rPr>
                <w:rFonts w:ascii="Garamond" w:hAnsi="Garamond"/>
              </w:rPr>
              <w:t>.</w:t>
            </w:r>
            <w:r w:rsidRPr="00CC61C1">
              <w:rPr>
                <w:rFonts w:ascii="Garamond" w:hAnsi="Garamond"/>
              </w:rPr>
              <w:t xml:space="preserve"> </w:t>
            </w:r>
          </w:p>
          <w:p w14:paraId="3D479EDA" w14:textId="728B143D" w:rsidR="008D7632" w:rsidRPr="00CC61C1" w:rsidRDefault="008D7632" w:rsidP="00A0124D">
            <w:pPr>
              <w:pStyle w:val="ListParagraph"/>
              <w:numPr>
                <w:ilvl w:val="0"/>
                <w:numId w:val="27"/>
              </w:numPr>
              <w:spacing w:after="0" w:line="240" w:lineRule="auto"/>
              <w:ind w:left="246" w:hanging="270"/>
              <w:rPr>
                <w:rFonts w:ascii="Garamond" w:hAnsi="Garamond"/>
              </w:rPr>
            </w:pPr>
            <w:r w:rsidRPr="00CC61C1">
              <w:rPr>
                <w:rFonts w:ascii="Garamond" w:hAnsi="Garamond"/>
              </w:rPr>
              <w:t>To resolve the dispute</w:t>
            </w:r>
            <w:r w:rsidR="006B15B8">
              <w:rPr>
                <w:rFonts w:ascii="Garamond" w:hAnsi="Garamond"/>
              </w:rPr>
              <w:t>,</w:t>
            </w:r>
            <w:r w:rsidRPr="00CC61C1">
              <w:rPr>
                <w:rFonts w:ascii="Garamond" w:hAnsi="Garamond"/>
              </w:rPr>
              <w:t xml:space="preserve"> a</w:t>
            </w:r>
            <w:r w:rsidR="006B15B8">
              <w:rPr>
                <w:rFonts w:ascii="Garamond" w:hAnsi="Garamond"/>
              </w:rPr>
              <w:t>n</w:t>
            </w:r>
            <w:r w:rsidRPr="00CC61C1">
              <w:rPr>
                <w:rFonts w:ascii="Garamond" w:hAnsi="Garamond"/>
              </w:rPr>
              <w:t xml:space="preserve"> entity selected by HHS</w:t>
            </w:r>
            <w:r w:rsidR="006B15B8">
              <w:rPr>
                <w:rFonts w:ascii="Garamond" w:hAnsi="Garamond"/>
              </w:rPr>
              <w:t xml:space="preserve"> </w:t>
            </w:r>
            <w:r w:rsidRPr="00CC61C1">
              <w:rPr>
                <w:rFonts w:ascii="Garamond" w:hAnsi="Garamond"/>
              </w:rPr>
              <w:t>will review documentation submitted by the patient or provider and make a determination as to whether the provider has provided credible information to show that the difference between the billed charge and the expected charge</w:t>
            </w:r>
            <w:r w:rsidR="006B15B8">
              <w:rPr>
                <w:rFonts w:ascii="Garamond" w:hAnsi="Garamond"/>
              </w:rPr>
              <w:t>:</w:t>
            </w:r>
          </w:p>
          <w:p w14:paraId="60EA22CA" w14:textId="5C946BCF" w:rsidR="008D7632" w:rsidRPr="00CC61C1" w:rsidRDefault="008D7632" w:rsidP="00A0124D">
            <w:pPr>
              <w:pStyle w:val="ListParagraph"/>
              <w:numPr>
                <w:ilvl w:val="1"/>
                <w:numId w:val="27"/>
              </w:numPr>
              <w:spacing w:after="0" w:line="240" w:lineRule="auto"/>
              <w:ind w:left="606"/>
              <w:rPr>
                <w:rFonts w:ascii="Garamond" w:hAnsi="Garamond"/>
              </w:rPr>
            </w:pPr>
            <w:r w:rsidRPr="00CC61C1">
              <w:rPr>
                <w:rFonts w:ascii="Garamond" w:hAnsi="Garamond"/>
              </w:rPr>
              <w:t>reflects the costs of medically necessary care</w:t>
            </w:r>
            <w:r w:rsidR="006B15B8">
              <w:rPr>
                <w:rFonts w:ascii="Garamond" w:hAnsi="Garamond"/>
              </w:rPr>
              <w:t>.</w:t>
            </w:r>
          </w:p>
          <w:p w14:paraId="12840297" w14:textId="77777777" w:rsidR="008D7632" w:rsidRPr="00CC61C1" w:rsidRDefault="008D7632" w:rsidP="00A0124D">
            <w:pPr>
              <w:pStyle w:val="ListParagraph"/>
              <w:numPr>
                <w:ilvl w:val="0"/>
                <w:numId w:val="28"/>
              </w:numPr>
              <w:spacing w:after="0" w:line="240" w:lineRule="auto"/>
              <w:ind w:left="606"/>
              <w:rPr>
                <w:rFonts w:ascii="Garamond" w:hAnsi="Garamond"/>
              </w:rPr>
            </w:pPr>
            <w:r w:rsidRPr="00CC61C1">
              <w:rPr>
                <w:rFonts w:ascii="Garamond" w:hAnsi="Garamond"/>
              </w:rPr>
              <w:t>is based on unforeseen circumstances that could not have reasonably been anticipated when the estimate was provided.</w:t>
            </w:r>
          </w:p>
          <w:p w14:paraId="6EFD790D" w14:textId="77777777" w:rsidR="008D7632" w:rsidRPr="00CC61C1" w:rsidRDefault="008D7632" w:rsidP="00A0124D">
            <w:pPr>
              <w:pStyle w:val="ListParagraph"/>
              <w:numPr>
                <w:ilvl w:val="0"/>
                <w:numId w:val="29"/>
              </w:numPr>
              <w:spacing w:after="0" w:line="240" w:lineRule="auto"/>
              <w:ind w:left="246" w:hanging="270"/>
              <w:rPr>
                <w:rFonts w:ascii="Garamond" w:hAnsi="Garamond"/>
              </w:rPr>
            </w:pPr>
            <w:r w:rsidRPr="00CC61C1">
              <w:rPr>
                <w:rFonts w:ascii="Garamond" w:hAnsi="Garamond"/>
              </w:rPr>
              <w:t xml:space="preserve">If the dispute resolution entity finds that the provider’s explanation for the difference between the estimate and the charge is credible, the entity must select the amount that the patient must pay, which will be the less of the billed charge or the median payment amount for the same or similar item or service in the geographic area.  </w:t>
            </w:r>
          </w:p>
          <w:p w14:paraId="14279C32" w14:textId="11EDF8B8" w:rsidR="008D7632" w:rsidRPr="00CC61C1" w:rsidRDefault="008D7632" w:rsidP="002A3EE5">
            <w:pPr>
              <w:pStyle w:val="ListParagraph"/>
              <w:numPr>
                <w:ilvl w:val="0"/>
                <w:numId w:val="29"/>
              </w:numPr>
              <w:spacing w:after="0" w:line="240" w:lineRule="auto"/>
              <w:ind w:left="245" w:hanging="274"/>
              <w:rPr>
                <w:rFonts w:ascii="Garamond" w:hAnsi="Garamond"/>
              </w:rPr>
            </w:pPr>
            <w:r w:rsidRPr="00CC61C1">
              <w:rPr>
                <w:rFonts w:ascii="Garamond" w:hAnsi="Garamond"/>
              </w:rPr>
              <w:t xml:space="preserve">If the entity finds that the information from the provider is not credible, the payment amount will be equal to the expected charge in the good faith estimate. </w:t>
            </w:r>
          </w:p>
        </w:tc>
        <w:tc>
          <w:tcPr>
            <w:tcW w:w="2970" w:type="dxa"/>
          </w:tcPr>
          <w:p w14:paraId="4E9FE701" w14:textId="77777777" w:rsidR="008D7632" w:rsidRPr="000B706D" w:rsidRDefault="008D7632" w:rsidP="008D7632">
            <w:pPr>
              <w:suppressAutoHyphens/>
              <w:autoSpaceDE w:val="0"/>
              <w:autoSpaceDN w:val="0"/>
              <w:adjustRightInd w:val="0"/>
              <w:rPr>
                <w:sz w:val="22"/>
                <w:szCs w:val="22"/>
              </w:rPr>
            </w:pPr>
          </w:p>
        </w:tc>
        <w:tc>
          <w:tcPr>
            <w:tcW w:w="2700" w:type="dxa"/>
          </w:tcPr>
          <w:p w14:paraId="218912DF" w14:textId="25443848" w:rsidR="008D7632" w:rsidRPr="000B706D" w:rsidRDefault="008D7632" w:rsidP="008D7632">
            <w:pPr>
              <w:suppressAutoHyphens/>
              <w:autoSpaceDE w:val="0"/>
              <w:autoSpaceDN w:val="0"/>
              <w:adjustRightInd w:val="0"/>
              <w:rPr>
                <w:sz w:val="22"/>
                <w:szCs w:val="22"/>
              </w:rPr>
            </w:pPr>
          </w:p>
        </w:tc>
      </w:tr>
    </w:tbl>
    <w:p w14:paraId="24FB1B94" w14:textId="1D63BF5D" w:rsidR="003D65BF" w:rsidRPr="000B706D" w:rsidRDefault="003D65BF" w:rsidP="00CC61C1">
      <w:pPr>
        <w:suppressAutoHyphens/>
        <w:autoSpaceDE w:val="0"/>
        <w:autoSpaceDN w:val="0"/>
        <w:adjustRightInd w:val="0"/>
        <w:rPr>
          <w:sz w:val="22"/>
          <w:szCs w:val="22"/>
        </w:rPr>
      </w:pPr>
    </w:p>
    <w:sectPr w:rsidR="003D65BF" w:rsidRPr="000B706D" w:rsidSect="008E3955">
      <w:headerReference w:type="default" r:id="rId17"/>
      <w:footerReference w:type="default" r:id="rId18"/>
      <w:headerReference w:type="first" r:id="rId19"/>
      <w:footerReference w:type="first" r:id="rId20"/>
      <w:pgSz w:w="15840" w:h="12240" w:orient="landscape"/>
      <w:pgMar w:top="720" w:right="720" w:bottom="720" w:left="72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E0A6" w14:textId="77777777" w:rsidR="00811A32" w:rsidRDefault="00811A32" w:rsidP="002A7CA2">
      <w:r>
        <w:separator/>
      </w:r>
    </w:p>
  </w:endnote>
  <w:endnote w:type="continuationSeparator" w:id="0">
    <w:p w14:paraId="3DF3BFA7" w14:textId="77777777" w:rsidR="00811A32" w:rsidRDefault="00811A32" w:rsidP="002A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300B" w14:textId="77777777" w:rsidR="00F36B44" w:rsidRDefault="00F36B44">
    <w:pPr>
      <w:pStyle w:val="Footer"/>
    </w:pPr>
  </w:p>
  <w:p w14:paraId="5622300C" w14:textId="77777777" w:rsidR="00F36B44" w:rsidRDefault="00F3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300E" w14:textId="77777777" w:rsidR="00F36B44" w:rsidRDefault="00F36B44" w:rsidP="002C6A42">
    <w:pPr>
      <w:pStyle w:val="Footer"/>
      <w:tabs>
        <w:tab w:val="clear" w:pos="4680"/>
      </w:tabs>
    </w:pPr>
    <w:r>
      <w:rPr>
        <w:noProof/>
      </w:rPr>
      <w:softHyphen/>
    </w:r>
    <w:r>
      <w:rPr>
        <w:noProof/>
      </w:rPr>
      <w:softHyphen/>
    </w:r>
    <w:r>
      <w:rPr>
        <w:noProof/>
      </w:rPr>
      <w:softHyphen/>
    </w:r>
    <w:r w:rsidR="002C6A42">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7CF8" w14:textId="77777777" w:rsidR="00811A32" w:rsidRDefault="00811A32" w:rsidP="002A7CA2">
      <w:r>
        <w:separator/>
      </w:r>
    </w:p>
  </w:footnote>
  <w:footnote w:type="continuationSeparator" w:id="0">
    <w:p w14:paraId="7FA5B2FB" w14:textId="77777777" w:rsidR="00811A32" w:rsidRDefault="00811A32" w:rsidP="002A7CA2">
      <w:r>
        <w:continuationSeparator/>
      </w:r>
    </w:p>
  </w:footnote>
  <w:footnote w:id="1">
    <w:p w14:paraId="1ED57EF6" w14:textId="52827EC4" w:rsidR="006D6D88" w:rsidRPr="008D0A14" w:rsidRDefault="006D6D88" w:rsidP="006D6D88">
      <w:pPr>
        <w:pStyle w:val="FootnoteText"/>
        <w:rPr>
          <w:rFonts w:ascii="Garamond" w:hAnsi="Garamond"/>
        </w:rPr>
      </w:pPr>
      <w:r w:rsidRPr="008D0A14">
        <w:rPr>
          <w:rStyle w:val="FootnoteReference"/>
          <w:rFonts w:ascii="Garamond" w:hAnsi="Garamond"/>
        </w:rPr>
        <w:footnoteRef/>
      </w:r>
      <w:r w:rsidRPr="008D0A14">
        <w:rPr>
          <w:rFonts w:ascii="Garamond" w:hAnsi="Garamond"/>
        </w:rPr>
        <w:t xml:space="preserve"> The </w:t>
      </w:r>
      <w:r w:rsidR="006F1A4B">
        <w:rPr>
          <w:rFonts w:ascii="Garamond" w:hAnsi="Garamond"/>
        </w:rPr>
        <w:t xml:space="preserve">QPA is also used to </w:t>
      </w:r>
      <w:r w:rsidR="006F1A4B" w:rsidRPr="002E72A0">
        <w:rPr>
          <w:rFonts w:ascii="Garamond" w:hAnsi="Garamond"/>
        </w:rPr>
        <w:t>determ</w:t>
      </w:r>
      <w:r w:rsidR="006F1A4B">
        <w:rPr>
          <w:rFonts w:ascii="Garamond" w:hAnsi="Garamond"/>
        </w:rPr>
        <w:t>ine</w:t>
      </w:r>
      <w:r w:rsidR="006F1A4B" w:rsidRPr="002E72A0">
        <w:rPr>
          <w:rFonts w:ascii="Garamond" w:hAnsi="Garamond"/>
        </w:rPr>
        <w:t xml:space="preserve"> patient cost-sharing</w:t>
      </w:r>
      <w:r w:rsidRPr="008D0A14">
        <w:rPr>
          <w:rFonts w:ascii="Garamond" w:hAnsi="Garamond"/>
        </w:rPr>
        <w:t xml:space="preserve">. </w:t>
      </w:r>
    </w:p>
  </w:footnote>
  <w:footnote w:id="2">
    <w:p w14:paraId="218C888B" w14:textId="39B2C15E" w:rsidR="00B9312A" w:rsidRPr="00B9312A" w:rsidRDefault="00B9312A">
      <w:pPr>
        <w:pStyle w:val="FootnoteText"/>
        <w:rPr>
          <w:rFonts w:ascii="Garamond" w:hAnsi="Garamond"/>
        </w:rPr>
      </w:pPr>
      <w:r w:rsidRPr="00B9312A">
        <w:rPr>
          <w:rStyle w:val="FootnoteReference"/>
          <w:rFonts w:ascii="Garamond" w:hAnsi="Garamond"/>
        </w:rPr>
        <w:footnoteRef/>
      </w:r>
      <w:r w:rsidRPr="00B9312A">
        <w:rPr>
          <w:rFonts w:ascii="Garamond" w:hAnsi="Garamond"/>
        </w:rPr>
        <w:t xml:space="preserve"> Under the act, </w:t>
      </w:r>
      <w:r>
        <w:rPr>
          <w:rFonts w:ascii="Garamond" w:hAnsi="Garamond"/>
        </w:rPr>
        <w:t xml:space="preserve">the </w:t>
      </w:r>
      <w:r w:rsidRPr="00B9312A">
        <w:rPr>
          <w:rFonts w:ascii="Garamond" w:hAnsi="Garamond"/>
        </w:rPr>
        <w:t xml:space="preserve">arbiter </w:t>
      </w:r>
      <w:r>
        <w:rPr>
          <w:rFonts w:ascii="Garamond" w:hAnsi="Garamond"/>
        </w:rPr>
        <w:t>must</w:t>
      </w:r>
      <w:r w:rsidRPr="00B9312A">
        <w:rPr>
          <w:rFonts w:ascii="Garamond" w:hAnsi="Garamond"/>
        </w:rPr>
        <w:t xml:space="preserve"> choose between the payer’s and provider’s payment offers taking into consideration the median contracted rate for similar services and providers in the geographic area and other factors such as facility type, prior payment history, patient acuity, case mix, quality measurements, and provider training.</w:t>
      </w:r>
    </w:p>
  </w:footnote>
  <w:footnote w:id="3">
    <w:p w14:paraId="0E692FA4" w14:textId="07AE7567" w:rsidR="008D7632" w:rsidRPr="00265D65" w:rsidRDefault="008D7632">
      <w:pPr>
        <w:pStyle w:val="FootnoteText"/>
        <w:rPr>
          <w:rFonts w:ascii="Garamond" w:hAnsi="Garamond"/>
        </w:rPr>
      </w:pPr>
      <w:r w:rsidRPr="00265D65">
        <w:rPr>
          <w:rStyle w:val="FootnoteReference"/>
          <w:rFonts w:ascii="Garamond" w:hAnsi="Garamond"/>
        </w:rPr>
        <w:footnoteRef/>
      </w:r>
      <w:r w:rsidRPr="00265D65">
        <w:rPr>
          <w:rFonts w:ascii="Garamond" w:hAnsi="Garamond"/>
        </w:rPr>
        <w:t xml:space="preserve"> </w:t>
      </w:r>
      <w:r>
        <w:rPr>
          <w:rFonts w:ascii="Garamond" w:hAnsi="Garamond"/>
        </w:rPr>
        <w:t xml:space="preserve">HHS will exercise enforcement discretion regarding provider compliance with the good faith estimate requirements until Dec. 31, 2022. </w:t>
      </w:r>
      <w:r w:rsidRPr="00265D65">
        <w:rPr>
          <w:rFonts w:ascii="Garamond" w:hAnsi="Garamond"/>
        </w:rPr>
        <w:t xml:space="preserve">Future rulemaking will implement the requirement that providers furnish good faith estimates to </w:t>
      </w:r>
      <w:r w:rsidR="00FC62A0">
        <w:rPr>
          <w:rFonts w:ascii="Garamond" w:hAnsi="Garamond"/>
        </w:rPr>
        <w:t>patients and their</w:t>
      </w:r>
      <w:r w:rsidRPr="00265D65">
        <w:rPr>
          <w:rFonts w:ascii="Garamond" w:hAnsi="Garamond"/>
        </w:rPr>
        <w:t xml:space="preserve"> for inclusion in the advanced explanation of benefits. </w:t>
      </w:r>
    </w:p>
  </w:footnote>
  <w:footnote w:id="4">
    <w:p w14:paraId="0E959B9D" w14:textId="38561270" w:rsidR="008D7632" w:rsidRDefault="008D7632">
      <w:pPr>
        <w:pStyle w:val="FootnoteText"/>
      </w:pPr>
      <w:r w:rsidRPr="00265D65">
        <w:rPr>
          <w:rStyle w:val="FootnoteReference"/>
          <w:rFonts w:ascii="Garamond" w:hAnsi="Garamond"/>
        </w:rPr>
        <w:footnoteRef/>
      </w:r>
      <w:r w:rsidRPr="00265D65">
        <w:rPr>
          <w:rFonts w:ascii="Garamond" w:hAnsi="Garamond"/>
        </w:rPr>
        <w:t xml:space="preserve"> </w:t>
      </w:r>
      <w:r>
        <w:rPr>
          <w:rFonts w:ascii="Garamond" w:hAnsi="Garamond"/>
        </w:rPr>
        <w:t xml:space="preserve">Patients </w:t>
      </w:r>
      <w:r w:rsidRPr="00265D65">
        <w:rPr>
          <w:rFonts w:ascii="Garamond" w:hAnsi="Garamond"/>
        </w:rPr>
        <w:t>enrolled in short-term limited duration plans, health care ministries and other products not considered to be minimum essential coverage</w:t>
      </w:r>
      <w:r>
        <w:rPr>
          <w:rFonts w:ascii="Garamond" w:hAnsi="Garamond"/>
        </w:rPr>
        <w:t xml:space="preserve"> are considered to be uninsured/self-pay for purposes of this rule. </w:t>
      </w:r>
    </w:p>
  </w:footnote>
  <w:footnote w:id="5">
    <w:p w14:paraId="26A0159D" w14:textId="77777777" w:rsidR="00D557AC" w:rsidRPr="006D5643" w:rsidRDefault="00D557AC" w:rsidP="00D557AC">
      <w:pPr>
        <w:autoSpaceDE w:val="0"/>
        <w:autoSpaceDN w:val="0"/>
        <w:adjustRightInd w:val="0"/>
        <w:rPr>
          <w:sz w:val="22"/>
          <w:szCs w:val="22"/>
        </w:rPr>
      </w:pPr>
      <w:r>
        <w:rPr>
          <w:rStyle w:val="FootnoteReference"/>
        </w:rPr>
        <w:footnoteRef/>
      </w:r>
      <w:r>
        <w:t xml:space="preserve"> </w:t>
      </w:r>
      <w:r w:rsidRPr="006D5643">
        <w:rPr>
          <w:sz w:val="22"/>
          <w:szCs w:val="22"/>
        </w:rPr>
        <w:t xml:space="preserve">HHS is developing a model notice that providers may choose to use to inform patients of the availability of the estimate. </w:t>
      </w:r>
    </w:p>
    <w:p w14:paraId="6669F350" w14:textId="77777777" w:rsidR="00D557AC" w:rsidRDefault="00D557AC" w:rsidP="00D557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300A" w14:textId="77777777" w:rsidR="002C6A42" w:rsidRDefault="001600A9">
    <w:pPr>
      <w:pStyle w:val="Header"/>
    </w:pPr>
    <w:r>
      <w:rPr>
        <w:noProof/>
      </w:rPr>
      <w:drawing>
        <wp:anchor distT="0" distB="0" distL="114300" distR="114300" simplePos="0" relativeHeight="251657728" behindDoc="1" locked="0" layoutInCell="1" allowOverlap="1" wp14:anchorId="5622300F" wp14:editId="41A35305">
          <wp:simplePos x="0" y="0"/>
          <wp:positionH relativeFrom="column">
            <wp:posOffset>-505114</wp:posOffset>
          </wp:positionH>
          <wp:positionV relativeFrom="paragraph">
            <wp:posOffset>-173182</wp:posOffset>
          </wp:positionV>
          <wp:extent cx="10058400" cy="77711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orizontal-secon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7771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EC1A" w14:textId="5B603748" w:rsidR="00B523A1" w:rsidRDefault="00B523A1" w:rsidP="00CF6E6D">
    <w:pPr>
      <w:pStyle w:val="Header"/>
      <w:jc w:val="right"/>
    </w:pPr>
    <w:r>
      <w:rPr>
        <w:noProof/>
      </w:rPr>
      <w:drawing>
        <wp:anchor distT="0" distB="0" distL="114300" distR="114300" simplePos="0" relativeHeight="251656704" behindDoc="1" locked="0" layoutInCell="1" allowOverlap="1" wp14:anchorId="56223011" wp14:editId="5A0A81F0">
          <wp:simplePos x="0" y="0"/>
          <wp:positionH relativeFrom="page">
            <wp:align>right</wp:align>
          </wp:positionH>
          <wp:positionV relativeFrom="paragraph">
            <wp:posOffset>-450850</wp:posOffset>
          </wp:positionV>
          <wp:extent cx="10057765" cy="7772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orizontal1.jpg"/>
                  <pic:cNvPicPr/>
                </pic:nvPicPr>
                <pic:blipFill>
                  <a:blip r:embed="rId1">
                    <a:extLst>
                      <a:ext uri="{28A0092B-C50C-407E-A947-70E740481C1C}">
                        <a14:useLocalDpi xmlns:a14="http://schemas.microsoft.com/office/drawing/2010/main" val="0"/>
                      </a:ext>
                    </a:extLst>
                  </a:blip>
                  <a:stretch>
                    <a:fillRect/>
                  </a:stretch>
                </pic:blipFill>
                <pic:spPr>
                  <a:xfrm>
                    <a:off x="0" y="0"/>
                    <a:ext cx="10057765" cy="7772400"/>
                  </a:xfrm>
                  <a:prstGeom prst="rect">
                    <a:avLst/>
                  </a:prstGeom>
                </pic:spPr>
              </pic:pic>
            </a:graphicData>
          </a:graphic>
          <wp14:sizeRelH relativeFrom="page">
            <wp14:pctWidth>0</wp14:pctWidth>
          </wp14:sizeRelH>
          <wp14:sizeRelV relativeFrom="page">
            <wp14:pctHeight>0</wp14:pctHeight>
          </wp14:sizeRelV>
        </wp:anchor>
      </w:drawing>
    </w:r>
  </w:p>
  <w:p w14:paraId="71C7009C" w14:textId="77777777" w:rsidR="00B523A1" w:rsidRDefault="00B523A1" w:rsidP="00CF6E6D">
    <w:pPr>
      <w:pStyle w:val="Header"/>
      <w:jc w:val="right"/>
    </w:pPr>
  </w:p>
  <w:p w14:paraId="5622300D" w14:textId="29A26551" w:rsidR="00F36B44" w:rsidRDefault="008E3955" w:rsidP="00CF6E6D">
    <w:pPr>
      <w:pStyle w:val="Header"/>
      <w:jc w:val="right"/>
    </w:pPr>
    <w:r>
      <w:t>Oct. 2</w:t>
    </w:r>
    <w:r w:rsidR="00A0624D">
      <w:t>2</w:t>
    </w:r>
    <w:r w:rsidR="00D30E48">
      <w:t>, 20</w:t>
    </w:r>
    <w:r w:rsidR="008940EB">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24"/>
    <w:multiLevelType w:val="hybridMultilevel"/>
    <w:tmpl w:val="F2DE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02F51418"/>
    <w:multiLevelType w:val="hybridMultilevel"/>
    <w:tmpl w:val="1FF44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F6A4C"/>
    <w:multiLevelType w:val="hybridMultilevel"/>
    <w:tmpl w:val="7D14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D96233"/>
    <w:multiLevelType w:val="hybridMultilevel"/>
    <w:tmpl w:val="36C0B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E638D"/>
    <w:multiLevelType w:val="hybridMultilevel"/>
    <w:tmpl w:val="CCFA4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672CD"/>
    <w:multiLevelType w:val="hybridMultilevel"/>
    <w:tmpl w:val="09A8C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320DC"/>
    <w:multiLevelType w:val="hybridMultilevel"/>
    <w:tmpl w:val="51BC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10FE"/>
    <w:multiLevelType w:val="hybridMultilevel"/>
    <w:tmpl w:val="11D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448BC"/>
    <w:multiLevelType w:val="hybridMultilevel"/>
    <w:tmpl w:val="6920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F33EA"/>
    <w:multiLevelType w:val="hybridMultilevel"/>
    <w:tmpl w:val="BC80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4E97"/>
    <w:multiLevelType w:val="hybridMultilevel"/>
    <w:tmpl w:val="66E0F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1D27DD"/>
    <w:multiLevelType w:val="hybridMultilevel"/>
    <w:tmpl w:val="2C48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B82859"/>
    <w:multiLevelType w:val="hybridMultilevel"/>
    <w:tmpl w:val="3356B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124E7"/>
    <w:multiLevelType w:val="hybridMultilevel"/>
    <w:tmpl w:val="D6702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926A5"/>
    <w:multiLevelType w:val="hybridMultilevel"/>
    <w:tmpl w:val="3DF8D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9774F"/>
    <w:multiLevelType w:val="hybridMultilevel"/>
    <w:tmpl w:val="E0524306"/>
    <w:lvl w:ilvl="0" w:tplc="04090003">
      <w:start w:val="1"/>
      <w:numFmt w:val="bullet"/>
      <w:lvlText w:val="o"/>
      <w:lvlJc w:val="left"/>
      <w:pPr>
        <w:ind w:left="606" w:hanging="360"/>
      </w:pPr>
      <w:rPr>
        <w:rFonts w:ascii="Courier New" w:hAnsi="Courier New" w:cs="Courier New"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16" w15:restartNumberingAfterBreak="0">
    <w:nsid w:val="227B0798"/>
    <w:multiLevelType w:val="hybridMultilevel"/>
    <w:tmpl w:val="F2A2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9668E"/>
    <w:multiLevelType w:val="hybridMultilevel"/>
    <w:tmpl w:val="2E9EB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8A7776"/>
    <w:multiLevelType w:val="hybridMultilevel"/>
    <w:tmpl w:val="5A6AF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2C0681"/>
    <w:multiLevelType w:val="hybridMultilevel"/>
    <w:tmpl w:val="D27ED5BE"/>
    <w:lvl w:ilvl="0" w:tplc="04090003">
      <w:start w:val="1"/>
      <w:numFmt w:val="bullet"/>
      <w:lvlText w:val="o"/>
      <w:lvlJc w:val="left"/>
      <w:pPr>
        <w:ind w:left="114" w:hanging="360"/>
      </w:pPr>
      <w:rPr>
        <w:rFonts w:ascii="Courier New" w:hAnsi="Courier New" w:cs="Courier New" w:hint="default"/>
      </w:rPr>
    </w:lvl>
    <w:lvl w:ilvl="1" w:tplc="04090003">
      <w:start w:val="1"/>
      <w:numFmt w:val="bullet"/>
      <w:lvlText w:val="o"/>
      <w:lvlJc w:val="left"/>
      <w:pPr>
        <w:ind w:left="834" w:hanging="360"/>
      </w:pPr>
      <w:rPr>
        <w:rFonts w:ascii="Courier New" w:hAnsi="Courier New" w:cs="Courier New" w:hint="default"/>
      </w:rPr>
    </w:lvl>
    <w:lvl w:ilvl="2" w:tplc="04090005" w:tentative="1">
      <w:start w:val="1"/>
      <w:numFmt w:val="bullet"/>
      <w:lvlText w:val=""/>
      <w:lvlJc w:val="left"/>
      <w:pPr>
        <w:ind w:left="1554" w:hanging="360"/>
      </w:pPr>
      <w:rPr>
        <w:rFonts w:ascii="Wingdings" w:hAnsi="Wingdings" w:hint="default"/>
      </w:rPr>
    </w:lvl>
    <w:lvl w:ilvl="3" w:tplc="04090001" w:tentative="1">
      <w:start w:val="1"/>
      <w:numFmt w:val="bullet"/>
      <w:lvlText w:val=""/>
      <w:lvlJc w:val="left"/>
      <w:pPr>
        <w:ind w:left="2274" w:hanging="360"/>
      </w:pPr>
      <w:rPr>
        <w:rFonts w:ascii="Symbol" w:hAnsi="Symbol" w:hint="default"/>
      </w:rPr>
    </w:lvl>
    <w:lvl w:ilvl="4" w:tplc="04090003" w:tentative="1">
      <w:start w:val="1"/>
      <w:numFmt w:val="bullet"/>
      <w:lvlText w:val="o"/>
      <w:lvlJc w:val="left"/>
      <w:pPr>
        <w:ind w:left="2994" w:hanging="360"/>
      </w:pPr>
      <w:rPr>
        <w:rFonts w:ascii="Courier New" w:hAnsi="Courier New" w:cs="Courier New" w:hint="default"/>
      </w:rPr>
    </w:lvl>
    <w:lvl w:ilvl="5" w:tplc="04090005" w:tentative="1">
      <w:start w:val="1"/>
      <w:numFmt w:val="bullet"/>
      <w:lvlText w:val=""/>
      <w:lvlJc w:val="left"/>
      <w:pPr>
        <w:ind w:left="3714" w:hanging="360"/>
      </w:pPr>
      <w:rPr>
        <w:rFonts w:ascii="Wingdings" w:hAnsi="Wingdings" w:hint="default"/>
      </w:rPr>
    </w:lvl>
    <w:lvl w:ilvl="6" w:tplc="04090001" w:tentative="1">
      <w:start w:val="1"/>
      <w:numFmt w:val="bullet"/>
      <w:lvlText w:val=""/>
      <w:lvlJc w:val="left"/>
      <w:pPr>
        <w:ind w:left="4434" w:hanging="360"/>
      </w:pPr>
      <w:rPr>
        <w:rFonts w:ascii="Symbol" w:hAnsi="Symbol" w:hint="default"/>
      </w:rPr>
    </w:lvl>
    <w:lvl w:ilvl="7" w:tplc="04090003" w:tentative="1">
      <w:start w:val="1"/>
      <w:numFmt w:val="bullet"/>
      <w:lvlText w:val="o"/>
      <w:lvlJc w:val="left"/>
      <w:pPr>
        <w:ind w:left="5154" w:hanging="360"/>
      </w:pPr>
      <w:rPr>
        <w:rFonts w:ascii="Courier New" w:hAnsi="Courier New" w:cs="Courier New" w:hint="default"/>
      </w:rPr>
    </w:lvl>
    <w:lvl w:ilvl="8" w:tplc="04090005" w:tentative="1">
      <w:start w:val="1"/>
      <w:numFmt w:val="bullet"/>
      <w:lvlText w:val=""/>
      <w:lvlJc w:val="left"/>
      <w:pPr>
        <w:ind w:left="5874" w:hanging="360"/>
      </w:pPr>
      <w:rPr>
        <w:rFonts w:ascii="Wingdings" w:hAnsi="Wingdings" w:hint="default"/>
      </w:rPr>
    </w:lvl>
  </w:abstractNum>
  <w:abstractNum w:abstractNumId="20" w15:restartNumberingAfterBreak="0">
    <w:nsid w:val="2FC43706"/>
    <w:multiLevelType w:val="hybridMultilevel"/>
    <w:tmpl w:val="8E329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82D6C"/>
    <w:multiLevelType w:val="hybridMultilevel"/>
    <w:tmpl w:val="811EFB76"/>
    <w:lvl w:ilvl="0" w:tplc="04090003">
      <w:start w:val="1"/>
      <w:numFmt w:val="bullet"/>
      <w:lvlText w:val="o"/>
      <w:lvlJc w:val="left"/>
      <w:pPr>
        <w:ind w:left="606" w:hanging="360"/>
      </w:pPr>
      <w:rPr>
        <w:rFonts w:ascii="Courier New" w:hAnsi="Courier New" w:cs="Courier New"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2" w15:restartNumberingAfterBreak="0">
    <w:nsid w:val="3C7E5F15"/>
    <w:multiLevelType w:val="hybridMultilevel"/>
    <w:tmpl w:val="A74A5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41346"/>
    <w:multiLevelType w:val="hybridMultilevel"/>
    <w:tmpl w:val="2B0E2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51409B"/>
    <w:multiLevelType w:val="hybridMultilevel"/>
    <w:tmpl w:val="90CC7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4D5E98"/>
    <w:multiLevelType w:val="hybridMultilevel"/>
    <w:tmpl w:val="C2946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DD79CF"/>
    <w:multiLevelType w:val="hybridMultilevel"/>
    <w:tmpl w:val="F2AE910C"/>
    <w:lvl w:ilvl="0" w:tplc="1938D704">
      <w:numFmt w:val="bullet"/>
      <w:lvlText w:val="•"/>
      <w:lvlJc w:val="left"/>
      <w:pPr>
        <w:ind w:left="360" w:hanging="360"/>
      </w:pPr>
      <w:rPr>
        <w:rFonts w:ascii="Garamond" w:hAnsi="Garamond"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432880"/>
    <w:multiLevelType w:val="hybridMultilevel"/>
    <w:tmpl w:val="03E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C2A50"/>
    <w:multiLevelType w:val="hybridMultilevel"/>
    <w:tmpl w:val="01FEBF86"/>
    <w:lvl w:ilvl="0" w:tplc="04090003">
      <w:start w:val="1"/>
      <w:numFmt w:val="bullet"/>
      <w:lvlText w:val="o"/>
      <w:lvlJc w:val="left"/>
      <w:pPr>
        <w:ind w:left="720" w:hanging="360"/>
      </w:pPr>
      <w:rPr>
        <w:rFonts w:ascii="Courier New" w:hAnsi="Courier New" w:cs="Courier New" w:hint="default"/>
      </w:rPr>
    </w:lvl>
    <w:lvl w:ilvl="1" w:tplc="112047E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162F8"/>
    <w:multiLevelType w:val="hybridMultilevel"/>
    <w:tmpl w:val="DBB8E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56F60"/>
    <w:multiLevelType w:val="hybridMultilevel"/>
    <w:tmpl w:val="ED68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05649D"/>
    <w:multiLevelType w:val="hybridMultilevel"/>
    <w:tmpl w:val="651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67B39"/>
    <w:multiLevelType w:val="hybridMultilevel"/>
    <w:tmpl w:val="39EA4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64A9"/>
    <w:multiLevelType w:val="hybridMultilevel"/>
    <w:tmpl w:val="2570A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E80B31"/>
    <w:multiLevelType w:val="hybridMultilevel"/>
    <w:tmpl w:val="A12EE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D0371B"/>
    <w:multiLevelType w:val="hybridMultilevel"/>
    <w:tmpl w:val="6AB2A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DE1C92"/>
    <w:multiLevelType w:val="hybridMultilevel"/>
    <w:tmpl w:val="755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25186"/>
    <w:multiLevelType w:val="hybridMultilevel"/>
    <w:tmpl w:val="40684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9A03D3"/>
    <w:multiLevelType w:val="hybridMultilevel"/>
    <w:tmpl w:val="C602EA4C"/>
    <w:lvl w:ilvl="0" w:tplc="04090003">
      <w:start w:val="1"/>
      <w:numFmt w:val="bullet"/>
      <w:lvlText w:val="o"/>
      <w:lvlJc w:val="left"/>
      <w:pPr>
        <w:ind w:left="606" w:hanging="360"/>
      </w:pPr>
      <w:rPr>
        <w:rFonts w:ascii="Courier New" w:hAnsi="Courier New" w:cs="Courier New"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39" w15:restartNumberingAfterBreak="0">
    <w:nsid w:val="6A7549B9"/>
    <w:multiLevelType w:val="hybridMultilevel"/>
    <w:tmpl w:val="F886E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98478F"/>
    <w:multiLevelType w:val="hybridMultilevel"/>
    <w:tmpl w:val="C37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75F14"/>
    <w:multiLevelType w:val="hybridMultilevel"/>
    <w:tmpl w:val="C8E8FF64"/>
    <w:lvl w:ilvl="0" w:tplc="04090003">
      <w:start w:val="1"/>
      <w:numFmt w:val="bullet"/>
      <w:lvlText w:val="o"/>
      <w:lvlJc w:val="left"/>
      <w:pPr>
        <w:ind w:left="616" w:hanging="360"/>
      </w:pPr>
      <w:rPr>
        <w:rFonts w:ascii="Courier New" w:hAnsi="Courier New" w:cs="Courier New" w:hint="default"/>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42" w15:restartNumberingAfterBreak="0">
    <w:nsid w:val="74860099"/>
    <w:multiLevelType w:val="hybridMultilevel"/>
    <w:tmpl w:val="4448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77682"/>
    <w:multiLevelType w:val="hybridMultilevel"/>
    <w:tmpl w:val="B2445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F67290"/>
    <w:multiLevelType w:val="hybridMultilevel"/>
    <w:tmpl w:val="ADC2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12047EE">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F1076"/>
    <w:multiLevelType w:val="hybridMultilevel"/>
    <w:tmpl w:val="E04C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3829017">
    <w:abstractNumId w:val="31"/>
  </w:num>
  <w:num w:numId="2" w16cid:durableId="1885169742">
    <w:abstractNumId w:val="16"/>
  </w:num>
  <w:num w:numId="3" w16cid:durableId="372997567">
    <w:abstractNumId w:val="11"/>
  </w:num>
  <w:num w:numId="4" w16cid:durableId="1581131998">
    <w:abstractNumId w:val="40"/>
  </w:num>
  <w:num w:numId="5" w16cid:durableId="1130634747">
    <w:abstractNumId w:val="7"/>
  </w:num>
  <w:num w:numId="6" w16cid:durableId="1873683675">
    <w:abstractNumId w:val="42"/>
  </w:num>
  <w:num w:numId="7" w16cid:durableId="1293484899">
    <w:abstractNumId w:val="8"/>
  </w:num>
  <w:num w:numId="8" w16cid:durableId="20013356">
    <w:abstractNumId w:val="6"/>
  </w:num>
  <w:num w:numId="9" w16cid:durableId="1266108139">
    <w:abstractNumId w:val="13"/>
  </w:num>
  <w:num w:numId="10" w16cid:durableId="1235355349">
    <w:abstractNumId w:val="9"/>
  </w:num>
  <w:num w:numId="11" w16cid:durableId="1999069084">
    <w:abstractNumId w:val="44"/>
  </w:num>
  <w:num w:numId="12" w16cid:durableId="1126123943">
    <w:abstractNumId w:val="0"/>
  </w:num>
  <w:num w:numId="13" w16cid:durableId="430706970">
    <w:abstractNumId w:val="1"/>
  </w:num>
  <w:num w:numId="14" w16cid:durableId="734621677">
    <w:abstractNumId w:val="23"/>
  </w:num>
  <w:num w:numId="15" w16cid:durableId="1181240830">
    <w:abstractNumId w:val="29"/>
  </w:num>
  <w:num w:numId="16" w16cid:durableId="2145079248">
    <w:abstractNumId w:val="37"/>
  </w:num>
  <w:num w:numId="17" w16cid:durableId="858281219">
    <w:abstractNumId w:val="19"/>
  </w:num>
  <w:num w:numId="18" w16cid:durableId="1296570128">
    <w:abstractNumId w:val="39"/>
  </w:num>
  <w:num w:numId="19" w16cid:durableId="190925020">
    <w:abstractNumId w:val="17"/>
  </w:num>
  <w:num w:numId="20" w16cid:durableId="164320061">
    <w:abstractNumId w:val="34"/>
  </w:num>
  <w:num w:numId="21" w16cid:durableId="1862277427">
    <w:abstractNumId w:val="24"/>
  </w:num>
  <w:num w:numId="22" w16cid:durableId="448427384">
    <w:abstractNumId w:val="4"/>
  </w:num>
  <w:num w:numId="23" w16cid:durableId="96412142">
    <w:abstractNumId w:val="21"/>
  </w:num>
  <w:num w:numId="24" w16cid:durableId="287053854">
    <w:abstractNumId w:val="35"/>
  </w:num>
  <w:num w:numId="25" w16cid:durableId="170024054">
    <w:abstractNumId w:val="25"/>
  </w:num>
  <w:num w:numId="26" w16cid:durableId="638800959">
    <w:abstractNumId w:val="3"/>
  </w:num>
  <w:num w:numId="27" w16cid:durableId="1997682291">
    <w:abstractNumId w:val="12"/>
  </w:num>
  <w:num w:numId="28" w16cid:durableId="1581282932">
    <w:abstractNumId w:val="14"/>
  </w:num>
  <w:num w:numId="29" w16cid:durableId="78213752">
    <w:abstractNumId w:val="45"/>
  </w:num>
  <w:num w:numId="30" w16cid:durableId="1601645636">
    <w:abstractNumId w:val="10"/>
  </w:num>
  <w:num w:numId="31" w16cid:durableId="2036542679">
    <w:abstractNumId w:val="38"/>
  </w:num>
  <w:num w:numId="32" w16cid:durableId="1832065300">
    <w:abstractNumId w:val="43"/>
  </w:num>
  <w:num w:numId="33" w16cid:durableId="1100028708">
    <w:abstractNumId w:val="15"/>
  </w:num>
  <w:num w:numId="34" w16cid:durableId="2130319713">
    <w:abstractNumId w:val="32"/>
  </w:num>
  <w:num w:numId="35" w16cid:durableId="1636451798">
    <w:abstractNumId w:val="28"/>
  </w:num>
  <w:num w:numId="36" w16cid:durableId="1582828912">
    <w:abstractNumId w:val="18"/>
  </w:num>
  <w:num w:numId="37" w16cid:durableId="1560480894">
    <w:abstractNumId w:val="41"/>
  </w:num>
  <w:num w:numId="38" w16cid:durableId="12731217">
    <w:abstractNumId w:val="33"/>
  </w:num>
  <w:num w:numId="39" w16cid:durableId="1173227309">
    <w:abstractNumId w:val="20"/>
  </w:num>
  <w:num w:numId="40" w16cid:durableId="577791751">
    <w:abstractNumId w:val="36"/>
  </w:num>
  <w:num w:numId="41" w16cid:durableId="1330598973">
    <w:abstractNumId w:val="26"/>
  </w:num>
  <w:num w:numId="42" w16cid:durableId="1218010015">
    <w:abstractNumId w:val="22"/>
  </w:num>
  <w:num w:numId="43" w16cid:durableId="827402465">
    <w:abstractNumId w:val="5"/>
  </w:num>
  <w:num w:numId="44" w16cid:durableId="931158186">
    <w:abstractNumId w:val="27"/>
  </w:num>
  <w:num w:numId="45" w16cid:durableId="1033385815">
    <w:abstractNumId w:val="2"/>
  </w:num>
  <w:num w:numId="46" w16cid:durableId="450243895">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68"/>
    <w:rsid w:val="000009D9"/>
    <w:rsid w:val="00005CE9"/>
    <w:rsid w:val="00005FB7"/>
    <w:rsid w:val="000136F5"/>
    <w:rsid w:val="00017E2E"/>
    <w:rsid w:val="00021535"/>
    <w:rsid w:val="00023D3A"/>
    <w:rsid w:val="00026D3D"/>
    <w:rsid w:val="00027000"/>
    <w:rsid w:val="00027DE3"/>
    <w:rsid w:val="00032A6E"/>
    <w:rsid w:val="0003328E"/>
    <w:rsid w:val="0003539C"/>
    <w:rsid w:val="00040DDF"/>
    <w:rsid w:val="00041366"/>
    <w:rsid w:val="00045978"/>
    <w:rsid w:val="00062885"/>
    <w:rsid w:val="00065578"/>
    <w:rsid w:val="00067C7F"/>
    <w:rsid w:val="0008062F"/>
    <w:rsid w:val="000844F0"/>
    <w:rsid w:val="000950D3"/>
    <w:rsid w:val="00095754"/>
    <w:rsid w:val="000977F2"/>
    <w:rsid w:val="000A3D7F"/>
    <w:rsid w:val="000A61BF"/>
    <w:rsid w:val="000B176B"/>
    <w:rsid w:val="000B5D46"/>
    <w:rsid w:val="000B6F58"/>
    <w:rsid w:val="000B706D"/>
    <w:rsid w:val="000B7D8B"/>
    <w:rsid w:val="000C47AD"/>
    <w:rsid w:val="000C61A0"/>
    <w:rsid w:val="000D10A7"/>
    <w:rsid w:val="000D2D1B"/>
    <w:rsid w:val="000D4C71"/>
    <w:rsid w:val="000D56C7"/>
    <w:rsid w:val="000E77A3"/>
    <w:rsid w:val="000E781E"/>
    <w:rsid w:val="000F1292"/>
    <w:rsid w:val="000F3A55"/>
    <w:rsid w:val="000F527F"/>
    <w:rsid w:val="000F5CBF"/>
    <w:rsid w:val="001004EA"/>
    <w:rsid w:val="0010260B"/>
    <w:rsid w:val="00102D7E"/>
    <w:rsid w:val="00106264"/>
    <w:rsid w:val="00110BFF"/>
    <w:rsid w:val="00127BD7"/>
    <w:rsid w:val="00142A4D"/>
    <w:rsid w:val="00146C85"/>
    <w:rsid w:val="00152895"/>
    <w:rsid w:val="001554B2"/>
    <w:rsid w:val="001600A9"/>
    <w:rsid w:val="00160A2E"/>
    <w:rsid w:val="00166B79"/>
    <w:rsid w:val="0017373E"/>
    <w:rsid w:val="0017405D"/>
    <w:rsid w:val="001822CA"/>
    <w:rsid w:val="00185DC1"/>
    <w:rsid w:val="00186151"/>
    <w:rsid w:val="00186D14"/>
    <w:rsid w:val="0018720C"/>
    <w:rsid w:val="001925D8"/>
    <w:rsid w:val="001938EE"/>
    <w:rsid w:val="00194E7A"/>
    <w:rsid w:val="001A3739"/>
    <w:rsid w:val="001A6B29"/>
    <w:rsid w:val="001B0087"/>
    <w:rsid w:val="001B0D20"/>
    <w:rsid w:val="001B164C"/>
    <w:rsid w:val="001B1CBC"/>
    <w:rsid w:val="001B7498"/>
    <w:rsid w:val="001C09AC"/>
    <w:rsid w:val="001C0CF5"/>
    <w:rsid w:val="001D35EC"/>
    <w:rsid w:val="001D50B9"/>
    <w:rsid w:val="001D5F06"/>
    <w:rsid w:val="001E626B"/>
    <w:rsid w:val="001E7980"/>
    <w:rsid w:val="001E7A4B"/>
    <w:rsid w:val="001F1EE1"/>
    <w:rsid w:val="001F4CB3"/>
    <w:rsid w:val="001F5F2F"/>
    <w:rsid w:val="002023C7"/>
    <w:rsid w:val="0020415D"/>
    <w:rsid w:val="00204879"/>
    <w:rsid w:val="0021363C"/>
    <w:rsid w:val="00225F07"/>
    <w:rsid w:val="0022648F"/>
    <w:rsid w:val="002303DC"/>
    <w:rsid w:val="00232B27"/>
    <w:rsid w:val="0023658C"/>
    <w:rsid w:val="00237526"/>
    <w:rsid w:val="00244734"/>
    <w:rsid w:val="00244CC8"/>
    <w:rsid w:val="00247E3A"/>
    <w:rsid w:val="002567CC"/>
    <w:rsid w:val="00257D0A"/>
    <w:rsid w:val="00261AF0"/>
    <w:rsid w:val="00262D5F"/>
    <w:rsid w:val="00264FE5"/>
    <w:rsid w:val="00265D65"/>
    <w:rsid w:val="00273A7F"/>
    <w:rsid w:val="002779B9"/>
    <w:rsid w:val="00285D56"/>
    <w:rsid w:val="002863BC"/>
    <w:rsid w:val="00290838"/>
    <w:rsid w:val="002A1862"/>
    <w:rsid w:val="002A39BA"/>
    <w:rsid w:val="002A3EE5"/>
    <w:rsid w:val="002A4268"/>
    <w:rsid w:val="002A5B11"/>
    <w:rsid w:val="002A7CA2"/>
    <w:rsid w:val="002B3725"/>
    <w:rsid w:val="002B467A"/>
    <w:rsid w:val="002B485F"/>
    <w:rsid w:val="002B5C6B"/>
    <w:rsid w:val="002B6E12"/>
    <w:rsid w:val="002C17FA"/>
    <w:rsid w:val="002C2F18"/>
    <w:rsid w:val="002C450E"/>
    <w:rsid w:val="002C573C"/>
    <w:rsid w:val="002C6A42"/>
    <w:rsid w:val="002C7E1E"/>
    <w:rsid w:val="002D11C9"/>
    <w:rsid w:val="002D1254"/>
    <w:rsid w:val="002D542E"/>
    <w:rsid w:val="002D6BF8"/>
    <w:rsid w:val="002D6F44"/>
    <w:rsid w:val="002D7D6C"/>
    <w:rsid w:val="002E72A0"/>
    <w:rsid w:val="002F4472"/>
    <w:rsid w:val="002F4F33"/>
    <w:rsid w:val="002F5729"/>
    <w:rsid w:val="003049EF"/>
    <w:rsid w:val="00306E0E"/>
    <w:rsid w:val="00310539"/>
    <w:rsid w:val="0031268A"/>
    <w:rsid w:val="00321EE3"/>
    <w:rsid w:val="00324196"/>
    <w:rsid w:val="0032595B"/>
    <w:rsid w:val="0032751F"/>
    <w:rsid w:val="003302D6"/>
    <w:rsid w:val="00330CD2"/>
    <w:rsid w:val="003347B8"/>
    <w:rsid w:val="003354C8"/>
    <w:rsid w:val="003372BA"/>
    <w:rsid w:val="00337907"/>
    <w:rsid w:val="003436F2"/>
    <w:rsid w:val="0034591D"/>
    <w:rsid w:val="00346A90"/>
    <w:rsid w:val="00351A00"/>
    <w:rsid w:val="00354076"/>
    <w:rsid w:val="0035430D"/>
    <w:rsid w:val="00357D62"/>
    <w:rsid w:val="00361796"/>
    <w:rsid w:val="0036786D"/>
    <w:rsid w:val="00377B0E"/>
    <w:rsid w:val="00380738"/>
    <w:rsid w:val="00382C3D"/>
    <w:rsid w:val="0038350A"/>
    <w:rsid w:val="00387C51"/>
    <w:rsid w:val="003904F2"/>
    <w:rsid w:val="00397E7C"/>
    <w:rsid w:val="003A295B"/>
    <w:rsid w:val="003A3D69"/>
    <w:rsid w:val="003A3F5B"/>
    <w:rsid w:val="003A68EE"/>
    <w:rsid w:val="003A727D"/>
    <w:rsid w:val="003B0DE7"/>
    <w:rsid w:val="003C2170"/>
    <w:rsid w:val="003C2C60"/>
    <w:rsid w:val="003C5487"/>
    <w:rsid w:val="003D5C21"/>
    <w:rsid w:val="003D65BF"/>
    <w:rsid w:val="003D70F3"/>
    <w:rsid w:val="003D7BBC"/>
    <w:rsid w:val="003D7E4A"/>
    <w:rsid w:val="003E0133"/>
    <w:rsid w:val="003E06D2"/>
    <w:rsid w:val="003E11CD"/>
    <w:rsid w:val="003E5CFA"/>
    <w:rsid w:val="003E6D86"/>
    <w:rsid w:val="003F1629"/>
    <w:rsid w:val="003F177F"/>
    <w:rsid w:val="004028BD"/>
    <w:rsid w:val="00403235"/>
    <w:rsid w:val="00404403"/>
    <w:rsid w:val="00413EA9"/>
    <w:rsid w:val="00414A07"/>
    <w:rsid w:val="004153F2"/>
    <w:rsid w:val="004172BF"/>
    <w:rsid w:val="00417FC2"/>
    <w:rsid w:val="00421627"/>
    <w:rsid w:val="00423677"/>
    <w:rsid w:val="00427384"/>
    <w:rsid w:val="004302DB"/>
    <w:rsid w:val="0043037D"/>
    <w:rsid w:val="004377A2"/>
    <w:rsid w:val="004408CB"/>
    <w:rsid w:val="00444D9B"/>
    <w:rsid w:val="004477AE"/>
    <w:rsid w:val="00450959"/>
    <w:rsid w:val="00452627"/>
    <w:rsid w:val="00454E89"/>
    <w:rsid w:val="00457D78"/>
    <w:rsid w:val="00462255"/>
    <w:rsid w:val="0046593D"/>
    <w:rsid w:val="004664F5"/>
    <w:rsid w:val="0046726E"/>
    <w:rsid w:val="0047053A"/>
    <w:rsid w:val="00471020"/>
    <w:rsid w:val="004711B2"/>
    <w:rsid w:val="004757DB"/>
    <w:rsid w:val="00484219"/>
    <w:rsid w:val="004842C2"/>
    <w:rsid w:val="0048486B"/>
    <w:rsid w:val="0048576B"/>
    <w:rsid w:val="00486F01"/>
    <w:rsid w:val="00487D34"/>
    <w:rsid w:val="00494731"/>
    <w:rsid w:val="00496899"/>
    <w:rsid w:val="004A3DF3"/>
    <w:rsid w:val="004A5823"/>
    <w:rsid w:val="004A60DA"/>
    <w:rsid w:val="004B2441"/>
    <w:rsid w:val="004B39C1"/>
    <w:rsid w:val="004B3C3A"/>
    <w:rsid w:val="004B7B4B"/>
    <w:rsid w:val="004C26A4"/>
    <w:rsid w:val="004D294D"/>
    <w:rsid w:val="004D400A"/>
    <w:rsid w:val="004D43E9"/>
    <w:rsid w:val="004F158F"/>
    <w:rsid w:val="004F17C3"/>
    <w:rsid w:val="004F3205"/>
    <w:rsid w:val="004F5C6B"/>
    <w:rsid w:val="0050094B"/>
    <w:rsid w:val="00503C44"/>
    <w:rsid w:val="00503C4D"/>
    <w:rsid w:val="00505A41"/>
    <w:rsid w:val="00506A5E"/>
    <w:rsid w:val="00507D1F"/>
    <w:rsid w:val="005123E2"/>
    <w:rsid w:val="00516F82"/>
    <w:rsid w:val="00524302"/>
    <w:rsid w:val="0052469E"/>
    <w:rsid w:val="005274EE"/>
    <w:rsid w:val="005310E0"/>
    <w:rsid w:val="00532A7D"/>
    <w:rsid w:val="00542C3A"/>
    <w:rsid w:val="0054673F"/>
    <w:rsid w:val="00552799"/>
    <w:rsid w:val="0055394B"/>
    <w:rsid w:val="00554DF3"/>
    <w:rsid w:val="00560735"/>
    <w:rsid w:val="005610EA"/>
    <w:rsid w:val="005637C8"/>
    <w:rsid w:val="00563888"/>
    <w:rsid w:val="00566221"/>
    <w:rsid w:val="005718F3"/>
    <w:rsid w:val="00572290"/>
    <w:rsid w:val="00572351"/>
    <w:rsid w:val="00572BEA"/>
    <w:rsid w:val="00591D40"/>
    <w:rsid w:val="00592EF7"/>
    <w:rsid w:val="005944A4"/>
    <w:rsid w:val="005A028F"/>
    <w:rsid w:val="005A1551"/>
    <w:rsid w:val="005A3506"/>
    <w:rsid w:val="005A3BE4"/>
    <w:rsid w:val="005B1566"/>
    <w:rsid w:val="005B17D6"/>
    <w:rsid w:val="005C0589"/>
    <w:rsid w:val="005C2DDE"/>
    <w:rsid w:val="005C6285"/>
    <w:rsid w:val="005C64D5"/>
    <w:rsid w:val="005C6989"/>
    <w:rsid w:val="005D0B68"/>
    <w:rsid w:val="005D1DDF"/>
    <w:rsid w:val="005D78F3"/>
    <w:rsid w:val="005E063B"/>
    <w:rsid w:val="005E6A45"/>
    <w:rsid w:val="005F166C"/>
    <w:rsid w:val="005F5F84"/>
    <w:rsid w:val="005F6DF4"/>
    <w:rsid w:val="00600205"/>
    <w:rsid w:val="00601433"/>
    <w:rsid w:val="006040B4"/>
    <w:rsid w:val="00604D5F"/>
    <w:rsid w:val="00606444"/>
    <w:rsid w:val="00616D6F"/>
    <w:rsid w:val="00621322"/>
    <w:rsid w:val="0062546C"/>
    <w:rsid w:val="006266BF"/>
    <w:rsid w:val="00626E80"/>
    <w:rsid w:val="0062785A"/>
    <w:rsid w:val="00633D10"/>
    <w:rsid w:val="00633DF6"/>
    <w:rsid w:val="00634544"/>
    <w:rsid w:val="006345E8"/>
    <w:rsid w:val="0064476B"/>
    <w:rsid w:val="00644F06"/>
    <w:rsid w:val="00647593"/>
    <w:rsid w:val="00654E66"/>
    <w:rsid w:val="00655827"/>
    <w:rsid w:val="00662EF0"/>
    <w:rsid w:val="00664B75"/>
    <w:rsid w:val="0066734D"/>
    <w:rsid w:val="006676AB"/>
    <w:rsid w:val="00670A26"/>
    <w:rsid w:val="00670E9C"/>
    <w:rsid w:val="00670ECD"/>
    <w:rsid w:val="0067646C"/>
    <w:rsid w:val="00684389"/>
    <w:rsid w:val="00684FF0"/>
    <w:rsid w:val="00690325"/>
    <w:rsid w:val="00695819"/>
    <w:rsid w:val="00696B63"/>
    <w:rsid w:val="006A1F35"/>
    <w:rsid w:val="006A7E8E"/>
    <w:rsid w:val="006B040B"/>
    <w:rsid w:val="006B09DC"/>
    <w:rsid w:val="006B15B8"/>
    <w:rsid w:val="006B2BEA"/>
    <w:rsid w:val="006B37B2"/>
    <w:rsid w:val="006B4FD6"/>
    <w:rsid w:val="006B53A6"/>
    <w:rsid w:val="006C1CE9"/>
    <w:rsid w:val="006C2ED8"/>
    <w:rsid w:val="006C556A"/>
    <w:rsid w:val="006D0A99"/>
    <w:rsid w:val="006D3A01"/>
    <w:rsid w:val="006D5643"/>
    <w:rsid w:val="006D6D88"/>
    <w:rsid w:val="006E2B2B"/>
    <w:rsid w:val="006E3126"/>
    <w:rsid w:val="006E3DEA"/>
    <w:rsid w:val="006E60A1"/>
    <w:rsid w:val="006E7CFB"/>
    <w:rsid w:val="006F1A4B"/>
    <w:rsid w:val="006F4EB1"/>
    <w:rsid w:val="006F6383"/>
    <w:rsid w:val="007066F9"/>
    <w:rsid w:val="00706C32"/>
    <w:rsid w:val="00711457"/>
    <w:rsid w:val="007119C2"/>
    <w:rsid w:val="00712A33"/>
    <w:rsid w:val="007163D9"/>
    <w:rsid w:val="007230E5"/>
    <w:rsid w:val="0072618B"/>
    <w:rsid w:val="00732767"/>
    <w:rsid w:val="00733695"/>
    <w:rsid w:val="007371DF"/>
    <w:rsid w:val="007372BB"/>
    <w:rsid w:val="00747646"/>
    <w:rsid w:val="00770846"/>
    <w:rsid w:val="007736DC"/>
    <w:rsid w:val="007737AC"/>
    <w:rsid w:val="00782FEA"/>
    <w:rsid w:val="007837C7"/>
    <w:rsid w:val="00786DE6"/>
    <w:rsid w:val="00793883"/>
    <w:rsid w:val="007A168B"/>
    <w:rsid w:val="007A2DB6"/>
    <w:rsid w:val="007A5E27"/>
    <w:rsid w:val="007A7843"/>
    <w:rsid w:val="007B02C0"/>
    <w:rsid w:val="007B3CFC"/>
    <w:rsid w:val="007D0493"/>
    <w:rsid w:val="007D743A"/>
    <w:rsid w:val="007E1E6B"/>
    <w:rsid w:val="007E2451"/>
    <w:rsid w:val="007E4805"/>
    <w:rsid w:val="007F21D0"/>
    <w:rsid w:val="007F4898"/>
    <w:rsid w:val="007F50B5"/>
    <w:rsid w:val="00805C8C"/>
    <w:rsid w:val="00811A32"/>
    <w:rsid w:val="00813041"/>
    <w:rsid w:val="00820907"/>
    <w:rsid w:val="00821D9B"/>
    <w:rsid w:val="008237D0"/>
    <w:rsid w:val="00826B25"/>
    <w:rsid w:val="0083014E"/>
    <w:rsid w:val="00831060"/>
    <w:rsid w:val="00834972"/>
    <w:rsid w:val="008351B4"/>
    <w:rsid w:val="00835F8A"/>
    <w:rsid w:val="008369FD"/>
    <w:rsid w:val="00837D4E"/>
    <w:rsid w:val="00837FE8"/>
    <w:rsid w:val="00843DC2"/>
    <w:rsid w:val="0084430A"/>
    <w:rsid w:val="00845518"/>
    <w:rsid w:val="00845FC7"/>
    <w:rsid w:val="00846F4F"/>
    <w:rsid w:val="00850024"/>
    <w:rsid w:val="0085337A"/>
    <w:rsid w:val="00855077"/>
    <w:rsid w:val="008560A0"/>
    <w:rsid w:val="0085769E"/>
    <w:rsid w:val="00863441"/>
    <w:rsid w:val="00872F14"/>
    <w:rsid w:val="00881448"/>
    <w:rsid w:val="0088249C"/>
    <w:rsid w:val="00885BAE"/>
    <w:rsid w:val="00890D93"/>
    <w:rsid w:val="00893B8A"/>
    <w:rsid w:val="008940EB"/>
    <w:rsid w:val="00895FBD"/>
    <w:rsid w:val="008A1A2E"/>
    <w:rsid w:val="008A5421"/>
    <w:rsid w:val="008A572A"/>
    <w:rsid w:val="008A6325"/>
    <w:rsid w:val="008B0C71"/>
    <w:rsid w:val="008B1901"/>
    <w:rsid w:val="008B23B7"/>
    <w:rsid w:val="008C20A1"/>
    <w:rsid w:val="008D0499"/>
    <w:rsid w:val="008D0A14"/>
    <w:rsid w:val="008D0AB1"/>
    <w:rsid w:val="008D2F43"/>
    <w:rsid w:val="008D7632"/>
    <w:rsid w:val="008E3955"/>
    <w:rsid w:val="008F16F0"/>
    <w:rsid w:val="008F1873"/>
    <w:rsid w:val="008F1C53"/>
    <w:rsid w:val="008F29FE"/>
    <w:rsid w:val="008F361B"/>
    <w:rsid w:val="008F4EC2"/>
    <w:rsid w:val="008F7151"/>
    <w:rsid w:val="0090006D"/>
    <w:rsid w:val="00903068"/>
    <w:rsid w:val="00905E82"/>
    <w:rsid w:val="00906079"/>
    <w:rsid w:val="009113DE"/>
    <w:rsid w:val="009118ED"/>
    <w:rsid w:val="00912A16"/>
    <w:rsid w:val="00913CA1"/>
    <w:rsid w:val="00914FD1"/>
    <w:rsid w:val="00915795"/>
    <w:rsid w:val="00920EC5"/>
    <w:rsid w:val="00921995"/>
    <w:rsid w:val="00923AE6"/>
    <w:rsid w:val="00925298"/>
    <w:rsid w:val="00926196"/>
    <w:rsid w:val="00934A3B"/>
    <w:rsid w:val="00943A5D"/>
    <w:rsid w:val="009475F4"/>
    <w:rsid w:val="00951449"/>
    <w:rsid w:val="00952F77"/>
    <w:rsid w:val="009543A0"/>
    <w:rsid w:val="009560D9"/>
    <w:rsid w:val="00957A85"/>
    <w:rsid w:val="0096077C"/>
    <w:rsid w:val="00963373"/>
    <w:rsid w:val="00970A04"/>
    <w:rsid w:val="00970EE6"/>
    <w:rsid w:val="00972D3D"/>
    <w:rsid w:val="00975A0B"/>
    <w:rsid w:val="00976F1B"/>
    <w:rsid w:val="00982CBD"/>
    <w:rsid w:val="00983511"/>
    <w:rsid w:val="009855B9"/>
    <w:rsid w:val="00985752"/>
    <w:rsid w:val="00987413"/>
    <w:rsid w:val="00990F71"/>
    <w:rsid w:val="0099121E"/>
    <w:rsid w:val="0099633D"/>
    <w:rsid w:val="00997F06"/>
    <w:rsid w:val="009A25F0"/>
    <w:rsid w:val="009B26F3"/>
    <w:rsid w:val="009B4193"/>
    <w:rsid w:val="009B61DD"/>
    <w:rsid w:val="009B7C80"/>
    <w:rsid w:val="009B7E6F"/>
    <w:rsid w:val="009C0F08"/>
    <w:rsid w:val="009C78E8"/>
    <w:rsid w:val="009C7BBF"/>
    <w:rsid w:val="009E361F"/>
    <w:rsid w:val="009F29A9"/>
    <w:rsid w:val="009F744C"/>
    <w:rsid w:val="009F75C1"/>
    <w:rsid w:val="00A0124D"/>
    <w:rsid w:val="00A02D86"/>
    <w:rsid w:val="00A0308B"/>
    <w:rsid w:val="00A05140"/>
    <w:rsid w:val="00A05FCD"/>
    <w:rsid w:val="00A0624D"/>
    <w:rsid w:val="00A1019B"/>
    <w:rsid w:val="00A13A2E"/>
    <w:rsid w:val="00A14EF9"/>
    <w:rsid w:val="00A15753"/>
    <w:rsid w:val="00A171A2"/>
    <w:rsid w:val="00A200BB"/>
    <w:rsid w:val="00A2112F"/>
    <w:rsid w:val="00A25420"/>
    <w:rsid w:val="00A259C6"/>
    <w:rsid w:val="00A259DC"/>
    <w:rsid w:val="00A303E3"/>
    <w:rsid w:val="00A30D82"/>
    <w:rsid w:val="00A33719"/>
    <w:rsid w:val="00A3608C"/>
    <w:rsid w:val="00A4305B"/>
    <w:rsid w:val="00A43368"/>
    <w:rsid w:val="00A4414E"/>
    <w:rsid w:val="00A461EB"/>
    <w:rsid w:val="00A46B27"/>
    <w:rsid w:val="00A50F73"/>
    <w:rsid w:val="00A54066"/>
    <w:rsid w:val="00A571E3"/>
    <w:rsid w:val="00A57819"/>
    <w:rsid w:val="00A6069B"/>
    <w:rsid w:val="00A60DE6"/>
    <w:rsid w:val="00A632A1"/>
    <w:rsid w:val="00A674C0"/>
    <w:rsid w:val="00A7049E"/>
    <w:rsid w:val="00A71672"/>
    <w:rsid w:val="00A734CC"/>
    <w:rsid w:val="00A7452D"/>
    <w:rsid w:val="00A84BD3"/>
    <w:rsid w:val="00A858FD"/>
    <w:rsid w:val="00A85DAA"/>
    <w:rsid w:val="00A95ED1"/>
    <w:rsid w:val="00AA1BED"/>
    <w:rsid w:val="00AA2D27"/>
    <w:rsid w:val="00AA2D54"/>
    <w:rsid w:val="00AA2EEC"/>
    <w:rsid w:val="00AA2EF3"/>
    <w:rsid w:val="00AA3F17"/>
    <w:rsid w:val="00AA7DF3"/>
    <w:rsid w:val="00AB073E"/>
    <w:rsid w:val="00AB4051"/>
    <w:rsid w:val="00AB53A1"/>
    <w:rsid w:val="00AB5D8F"/>
    <w:rsid w:val="00AB7AAA"/>
    <w:rsid w:val="00AC018E"/>
    <w:rsid w:val="00AC127B"/>
    <w:rsid w:val="00AC2754"/>
    <w:rsid w:val="00AC34B4"/>
    <w:rsid w:val="00AC3807"/>
    <w:rsid w:val="00AC72FC"/>
    <w:rsid w:val="00AC7766"/>
    <w:rsid w:val="00AD4CEA"/>
    <w:rsid w:val="00AD67C0"/>
    <w:rsid w:val="00AD75B0"/>
    <w:rsid w:val="00AE1AAE"/>
    <w:rsid w:val="00AE63A8"/>
    <w:rsid w:val="00AF50AD"/>
    <w:rsid w:val="00B016FE"/>
    <w:rsid w:val="00B03256"/>
    <w:rsid w:val="00B06574"/>
    <w:rsid w:val="00B07EC7"/>
    <w:rsid w:val="00B11078"/>
    <w:rsid w:val="00B114A5"/>
    <w:rsid w:val="00B14312"/>
    <w:rsid w:val="00B15187"/>
    <w:rsid w:val="00B1659D"/>
    <w:rsid w:val="00B1660B"/>
    <w:rsid w:val="00B23FB2"/>
    <w:rsid w:val="00B242F5"/>
    <w:rsid w:val="00B2451D"/>
    <w:rsid w:val="00B36026"/>
    <w:rsid w:val="00B3627F"/>
    <w:rsid w:val="00B36D0D"/>
    <w:rsid w:val="00B402C0"/>
    <w:rsid w:val="00B470B6"/>
    <w:rsid w:val="00B50E0D"/>
    <w:rsid w:val="00B50F4B"/>
    <w:rsid w:val="00B51ABA"/>
    <w:rsid w:val="00B523A1"/>
    <w:rsid w:val="00B578EC"/>
    <w:rsid w:val="00B605B9"/>
    <w:rsid w:val="00B6539D"/>
    <w:rsid w:val="00B65DA4"/>
    <w:rsid w:val="00B7185F"/>
    <w:rsid w:val="00B73A39"/>
    <w:rsid w:val="00B76BB4"/>
    <w:rsid w:val="00B771CC"/>
    <w:rsid w:val="00B84022"/>
    <w:rsid w:val="00B86821"/>
    <w:rsid w:val="00B92E92"/>
    <w:rsid w:val="00B9312A"/>
    <w:rsid w:val="00BA1FB9"/>
    <w:rsid w:val="00BA34F8"/>
    <w:rsid w:val="00BA77EC"/>
    <w:rsid w:val="00BB07A2"/>
    <w:rsid w:val="00BB10F0"/>
    <w:rsid w:val="00BB11B1"/>
    <w:rsid w:val="00BB59CB"/>
    <w:rsid w:val="00BB5A28"/>
    <w:rsid w:val="00BC305A"/>
    <w:rsid w:val="00BD1CCC"/>
    <w:rsid w:val="00BD37F4"/>
    <w:rsid w:val="00BD67D9"/>
    <w:rsid w:val="00BD6E5E"/>
    <w:rsid w:val="00BE0ADE"/>
    <w:rsid w:val="00BE1A39"/>
    <w:rsid w:val="00BE20D9"/>
    <w:rsid w:val="00BE4B44"/>
    <w:rsid w:val="00BF2476"/>
    <w:rsid w:val="00BF3323"/>
    <w:rsid w:val="00BF55B9"/>
    <w:rsid w:val="00BF6513"/>
    <w:rsid w:val="00C053D3"/>
    <w:rsid w:val="00C06C57"/>
    <w:rsid w:val="00C1660B"/>
    <w:rsid w:val="00C166E2"/>
    <w:rsid w:val="00C20D40"/>
    <w:rsid w:val="00C21ED5"/>
    <w:rsid w:val="00C22058"/>
    <w:rsid w:val="00C234A0"/>
    <w:rsid w:val="00C2761C"/>
    <w:rsid w:val="00C27989"/>
    <w:rsid w:val="00C30080"/>
    <w:rsid w:val="00C3074E"/>
    <w:rsid w:val="00C3264B"/>
    <w:rsid w:val="00C340E1"/>
    <w:rsid w:val="00C34700"/>
    <w:rsid w:val="00C3515C"/>
    <w:rsid w:val="00C3600E"/>
    <w:rsid w:val="00C36F76"/>
    <w:rsid w:val="00C4352F"/>
    <w:rsid w:val="00C504E4"/>
    <w:rsid w:val="00C50ABB"/>
    <w:rsid w:val="00C626FC"/>
    <w:rsid w:val="00C64B7F"/>
    <w:rsid w:val="00C65881"/>
    <w:rsid w:val="00C712B2"/>
    <w:rsid w:val="00C733BF"/>
    <w:rsid w:val="00C77EF6"/>
    <w:rsid w:val="00C80180"/>
    <w:rsid w:val="00C86184"/>
    <w:rsid w:val="00C90F1F"/>
    <w:rsid w:val="00CA02F7"/>
    <w:rsid w:val="00CA2732"/>
    <w:rsid w:val="00CA4A8A"/>
    <w:rsid w:val="00CA7833"/>
    <w:rsid w:val="00CB0609"/>
    <w:rsid w:val="00CC2FCF"/>
    <w:rsid w:val="00CC3680"/>
    <w:rsid w:val="00CC61C1"/>
    <w:rsid w:val="00CD4F53"/>
    <w:rsid w:val="00CD5F60"/>
    <w:rsid w:val="00CE1A4D"/>
    <w:rsid w:val="00CE3487"/>
    <w:rsid w:val="00CF46F9"/>
    <w:rsid w:val="00CF6E6D"/>
    <w:rsid w:val="00CF7E30"/>
    <w:rsid w:val="00D075E6"/>
    <w:rsid w:val="00D11EEB"/>
    <w:rsid w:val="00D145A4"/>
    <w:rsid w:val="00D14635"/>
    <w:rsid w:val="00D20105"/>
    <w:rsid w:val="00D24030"/>
    <w:rsid w:val="00D25E26"/>
    <w:rsid w:val="00D30345"/>
    <w:rsid w:val="00D30E48"/>
    <w:rsid w:val="00D3675D"/>
    <w:rsid w:val="00D402CD"/>
    <w:rsid w:val="00D4578B"/>
    <w:rsid w:val="00D50B0E"/>
    <w:rsid w:val="00D548D3"/>
    <w:rsid w:val="00D557AC"/>
    <w:rsid w:val="00D57478"/>
    <w:rsid w:val="00D60FF0"/>
    <w:rsid w:val="00D6153D"/>
    <w:rsid w:val="00D715C4"/>
    <w:rsid w:val="00D73F87"/>
    <w:rsid w:val="00D7695A"/>
    <w:rsid w:val="00D8078F"/>
    <w:rsid w:val="00D83202"/>
    <w:rsid w:val="00DA1D2B"/>
    <w:rsid w:val="00DA1DC8"/>
    <w:rsid w:val="00DA1F0D"/>
    <w:rsid w:val="00DB0280"/>
    <w:rsid w:val="00DC66B9"/>
    <w:rsid w:val="00DD2601"/>
    <w:rsid w:val="00DD3AA5"/>
    <w:rsid w:val="00DE5DD9"/>
    <w:rsid w:val="00DF26EF"/>
    <w:rsid w:val="00DF5F87"/>
    <w:rsid w:val="00E12DE7"/>
    <w:rsid w:val="00E12FE6"/>
    <w:rsid w:val="00E13A0B"/>
    <w:rsid w:val="00E143A9"/>
    <w:rsid w:val="00E1478A"/>
    <w:rsid w:val="00E173DD"/>
    <w:rsid w:val="00E212D8"/>
    <w:rsid w:val="00E21EF2"/>
    <w:rsid w:val="00E274AD"/>
    <w:rsid w:val="00E3209C"/>
    <w:rsid w:val="00E33C70"/>
    <w:rsid w:val="00E41278"/>
    <w:rsid w:val="00E42478"/>
    <w:rsid w:val="00E4338A"/>
    <w:rsid w:val="00E517D7"/>
    <w:rsid w:val="00E52682"/>
    <w:rsid w:val="00E527B3"/>
    <w:rsid w:val="00E52C39"/>
    <w:rsid w:val="00E555EB"/>
    <w:rsid w:val="00E61057"/>
    <w:rsid w:val="00E6538C"/>
    <w:rsid w:val="00E65F29"/>
    <w:rsid w:val="00E70798"/>
    <w:rsid w:val="00E809FE"/>
    <w:rsid w:val="00E84F81"/>
    <w:rsid w:val="00E85145"/>
    <w:rsid w:val="00E933AF"/>
    <w:rsid w:val="00E93B4F"/>
    <w:rsid w:val="00E94E37"/>
    <w:rsid w:val="00E96211"/>
    <w:rsid w:val="00E97AAE"/>
    <w:rsid w:val="00EA0EE6"/>
    <w:rsid w:val="00EA19C5"/>
    <w:rsid w:val="00EA1CE0"/>
    <w:rsid w:val="00EA3804"/>
    <w:rsid w:val="00EA52A7"/>
    <w:rsid w:val="00EA5CF8"/>
    <w:rsid w:val="00EA5EB5"/>
    <w:rsid w:val="00EA6F72"/>
    <w:rsid w:val="00EB1E31"/>
    <w:rsid w:val="00EB2B5C"/>
    <w:rsid w:val="00EB5575"/>
    <w:rsid w:val="00EB711C"/>
    <w:rsid w:val="00EB7CB9"/>
    <w:rsid w:val="00EC00EE"/>
    <w:rsid w:val="00EC0E9A"/>
    <w:rsid w:val="00EC1739"/>
    <w:rsid w:val="00EC5FF8"/>
    <w:rsid w:val="00ED5850"/>
    <w:rsid w:val="00ED599C"/>
    <w:rsid w:val="00ED62CD"/>
    <w:rsid w:val="00ED7DE8"/>
    <w:rsid w:val="00EE54F4"/>
    <w:rsid w:val="00EE5BB2"/>
    <w:rsid w:val="00EE7286"/>
    <w:rsid w:val="00EF0C4B"/>
    <w:rsid w:val="00EF3E46"/>
    <w:rsid w:val="00EF5207"/>
    <w:rsid w:val="00EF7C41"/>
    <w:rsid w:val="00F00EA0"/>
    <w:rsid w:val="00F11874"/>
    <w:rsid w:val="00F14751"/>
    <w:rsid w:val="00F158B9"/>
    <w:rsid w:val="00F20B0C"/>
    <w:rsid w:val="00F20E13"/>
    <w:rsid w:val="00F214C1"/>
    <w:rsid w:val="00F241D5"/>
    <w:rsid w:val="00F24E6F"/>
    <w:rsid w:val="00F26C02"/>
    <w:rsid w:val="00F33318"/>
    <w:rsid w:val="00F3391F"/>
    <w:rsid w:val="00F355BD"/>
    <w:rsid w:val="00F36B44"/>
    <w:rsid w:val="00F44604"/>
    <w:rsid w:val="00F446A2"/>
    <w:rsid w:val="00F46B60"/>
    <w:rsid w:val="00F50404"/>
    <w:rsid w:val="00F514BC"/>
    <w:rsid w:val="00F60851"/>
    <w:rsid w:val="00F628D8"/>
    <w:rsid w:val="00F658D7"/>
    <w:rsid w:val="00F67C92"/>
    <w:rsid w:val="00F72C18"/>
    <w:rsid w:val="00F74582"/>
    <w:rsid w:val="00F779F5"/>
    <w:rsid w:val="00F90824"/>
    <w:rsid w:val="00F947CD"/>
    <w:rsid w:val="00FA0120"/>
    <w:rsid w:val="00FA2DC4"/>
    <w:rsid w:val="00FA3BCD"/>
    <w:rsid w:val="00FA78B1"/>
    <w:rsid w:val="00FA7EF0"/>
    <w:rsid w:val="00FA7F18"/>
    <w:rsid w:val="00FB14C8"/>
    <w:rsid w:val="00FB2E4F"/>
    <w:rsid w:val="00FB6AAC"/>
    <w:rsid w:val="00FC06BB"/>
    <w:rsid w:val="00FC4131"/>
    <w:rsid w:val="00FC62A0"/>
    <w:rsid w:val="00FC6927"/>
    <w:rsid w:val="00FC764D"/>
    <w:rsid w:val="00FD329D"/>
    <w:rsid w:val="00FD5AA3"/>
    <w:rsid w:val="00FE0D16"/>
    <w:rsid w:val="00FE2EF6"/>
    <w:rsid w:val="00FE418E"/>
    <w:rsid w:val="00FE454E"/>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223000"/>
  <w15:docId w15:val="{0D46B0EF-4F7E-4A68-9D55-5833F90B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Arial"/>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40B"/>
    <w:pPr>
      <w:keepNext/>
      <w:keepLines/>
      <w:spacing w:before="240" w:line="259" w:lineRule="auto"/>
      <w:outlineLvl w:val="0"/>
    </w:pPr>
    <w:rPr>
      <w:rFonts w:asciiTheme="majorHAnsi" w:eastAsiaTheme="majorEastAsia" w:hAnsiTheme="majorHAnsi" w:cstheme="majorBidi"/>
      <w:color w:val="00578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CA2"/>
    <w:rPr>
      <w:rFonts w:ascii="Tahoma" w:hAnsi="Tahoma" w:cs="Tahoma"/>
      <w:sz w:val="16"/>
      <w:szCs w:val="16"/>
    </w:rPr>
  </w:style>
  <w:style w:type="character" w:customStyle="1" w:styleId="BalloonTextChar">
    <w:name w:val="Balloon Text Char"/>
    <w:basedOn w:val="DefaultParagraphFont"/>
    <w:link w:val="BalloonText"/>
    <w:uiPriority w:val="99"/>
    <w:semiHidden/>
    <w:rsid w:val="002A7CA2"/>
    <w:rPr>
      <w:rFonts w:ascii="Tahoma" w:hAnsi="Tahoma" w:cs="Tahoma"/>
      <w:sz w:val="16"/>
      <w:szCs w:val="16"/>
    </w:rPr>
  </w:style>
  <w:style w:type="paragraph" w:styleId="Header">
    <w:name w:val="header"/>
    <w:basedOn w:val="Normal"/>
    <w:link w:val="HeaderChar"/>
    <w:uiPriority w:val="99"/>
    <w:unhideWhenUsed/>
    <w:rsid w:val="002A7CA2"/>
    <w:pPr>
      <w:tabs>
        <w:tab w:val="center" w:pos="4680"/>
        <w:tab w:val="right" w:pos="9360"/>
      </w:tabs>
    </w:pPr>
  </w:style>
  <w:style w:type="character" w:customStyle="1" w:styleId="HeaderChar">
    <w:name w:val="Header Char"/>
    <w:basedOn w:val="DefaultParagraphFont"/>
    <w:link w:val="Header"/>
    <w:uiPriority w:val="99"/>
    <w:rsid w:val="002A7CA2"/>
  </w:style>
  <w:style w:type="paragraph" w:styleId="Footer">
    <w:name w:val="footer"/>
    <w:basedOn w:val="Normal"/>
    <w:link w:val="FooterChar"/>
    <w:uiPriority w:val="99"/>
    <w:unhideWhenUsed/>
    <w:rsid w:val="002A7CA2"/>
    <w:pPr>
      <w:tabs>
        <w:tab w:val="center" w:pos="4680"/>
        <w:tab w:val="right" w:pos="9360"/>
      </w:tabs>
    </w:pPr>
  </w:style>
  <w:style w:type="character" w:customStyle="1" w:styleId="FooterChar">
    <w:name w:val="Footer Char"/>
    <w:basedOn w:val="DefaultParagraphFont"/>
    <w:link w:val="Footer"/>
    <w:uiPriority w:val="99"/>
    <w:rsid w:val="002A7CA2"/>
  </w:style>
  <w:style w:type="character" w:styleId="Hyperlink">
    <w:name w:val="Hyperlink"/>
    <w:basedOn w:val="DefaultParagraphFont"/>
    <w:uiPriority w:val="99"/>
    <w:unhideWhenUsed/>
    <w:rsid w:val="005D0B68"/>
    <w:rPr>
      <w:color w:val="0074BC" w:themeColor="hyperlink"/>
      <w:u w:val="single"/>
    </w:rPr>
  </w:style>
  <w:style w:type="table" w:styleId="TableGrid">
    <w:name w:val="Table Grid"/>
    <w:basedOn w:val="TableNormal"/>
    <w:uiPriority w:val="59"/>
    <w:rsid w:val="006B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040B"/>
    <w:rPr>
      <w:rFonts w:asciiTheme="majorHAnsi" w:eastAsiaTheme="majorEastAsia" w:hAnsiTheme="majorHAnsi" w:cstheme="majorBidi"/>
      <w:color w:val="00578C" w:themeColor="accent1" w:themeShade="BF"/>
      <w:sz w:val="32"/>
      <w:szCs w:val="32"/>
    </w:rPr>
  </w:style>
  <w:style w:type="paragraph" w:styleId="ListParagraph">
    <w:name w:val="List Paragraph"/>
    <w:basedOn w:val="Normal"/>
    <w:uiPriority w:val="34"/>
    <w:qFormat/>
    <w:rsid w:val="006B040B"/>
    <w:pPr>
      <w:spacing w:after="160" w:line="259" w:lineRule="auto"/>
      <w:ind w:left="720"/>
      <w:contextualSpacing/>
    </w:pPr>
    <w:rPr>
      <w:rFonts w:asciiTheme="minorHAnsi" w:hAnsiTheme="minorHAnsi" w:cstheme="minorBidi"/>
      <w:color w:val="auto"/>
      <w:sz w:val="22"/>
      <w:szCs w:val="22"/>
    </w:rPr>
  </w:style>
  <w:style w:type="character" w:styleId="UnresolvedMention">
    <w:name w:val="Unresolved Mention"/>
    <w:basedOn w:val="DefaultParagraphFont"/>
    <w:uiPriority w:val="99"/>
    <w:semiHidden/>
    <w:unhideWhenUsed/>
    <w:rsid w:val="00106264"/>
    <w:rPr>
      <w:color w:val="605E5C"/>
      <w:shd w:val="clear" w:color="auto" w:fill="E1DFDD"/>
    </w:rPr>
  </w:style>
  <w:style w:type="character" w:styleId="CommentReference">
    <w:name w:val="annotation reference"/>
    <w:basedOn w:val="DefaultParagraphFont"/>
    <w:uiPriority w:val="99"/>
    <w:semiHidden/>
    <w:unhideWhenUsed/>
    <w:rsid w:val="007119C2"/>
    <w:rPr>
      <w:sz w:val="16"/>
      <w:szCs w:val="16"/>
    </w:rPr>
  </w:style>
  <w:style w:type="paragraph" w:styleId="CommentText">
    <w:name w:val="annotation text"/>
    <w:basedOn w:val="Normal"/>
    <w:link w:val="CommentTextChar"/>
    <w:uiPriority w:val="99"/>
    <w:semiHidden/>
    <w:unhideWhenUsed/>
    <w:rsid w:val="007119C2"/>
    <w:rPr>
      <w:sz w:val="20"/>
      <w:szCs w:val="20"/>
    </w:rPr>
  </w:style>
  <w:style w:type="character" w:customStyle="1" w:styleId="CommentTextChar">
    <w:name w:val="Comment Text Char"/>
    <w:basedOn w:val="DefaultParagraphFont"/>
    <w:link w:val="CommentText"/>
    <w:uiPriority w:val="99"/>
    <w:semiHidden/>
    <w:rsid w:val="007119C2"/>
    <w:rPr>
      <w:sz w:val="20"/>
      <w:szCs w:val="20"/>
    </w:rPr>
  </w:style>
  <w:style w:type="paragraph" w:styleId="CommentSubject">
    <w:name w:val="annotation subject"/>
    <w:basedOn w:val="CommentText"/>
    <w:next w:val="CommentText"/>
    <w:link w:val="CommentSubjectChar"/>
    <w:uiPriority w:val="99"/>
    <w:semiHidden/>
    <w:unhideWhenUsed/>
    <w:rsid w:val="007119C2"/>
    <w:rPr>
      <w:b/>
      <w:bCs/>
    </w:rPr>
  </w:style>
  <w:style w:type="character" w:customStyle="1" w:styleId="CommentSubjectChar">
    <w:name w:val="Comment Subject Char"/>
    <w:basedOn w:val="CommentTextChar"/>
    <w:link w:val="CommentSubject"/>
    <w:uiPriority w:val="99"/>
    <w:semiHidden/>
    <w:rsid w:val="007119C2"/>
    <w:rPr>
      <w:b/>
      <w:bCs/>
      <w:sz w:val="20"/>
      <w:szCs w:val="20"/>
    </w:rPr>
  </w:style>
  <w:style w:type="paragraph" w:styleId="FootnoteText">
    <w:name w:val="footnote text"/>
    <w:basedOn w:val="Normal"/>
    <w:link w:val="FootnoteTextChar"/>
    <w:uiPriority w:val="99"/>
    <w:semiHidden/>
    <w:unhideWhenUsed/>
    <w:rsid w:val="00A05140"/>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05140"/>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A05140"/>
    <w:rPr>
      <w:vertAlign w:val="superscript"/>
    </w:rPr>
  </w:style>
  <w:style w:type="paragraph" w:styleId="Revision">
    <w:name w:val="Revision"/>
    <w:hidden/>
    <w:uiPriority w:val="99"/>
    <w:semiHidden/>
    <w:rsid w:val="006345E8"/>
  </w:style>
  <w:style w:type="table" w:customStyle="1" w:styleId="TableGrid1">
    <w:name w:val="Table Grid1"/>
    <w:basedOn w:val="TableNormal"/>
    <w:next w:val="TableGrid"/>
    <w:uiPriority w:val="59"/>
    <w:rsid w:val="0018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E80"/>
    <w:pPr>
      <w:autoSpaceDE w:val="0"/>
      <w:autoSpaceDN w:val="0"/>
      <w:adjustRightInd w:val="0"/>
    </w:pPr>
    <w:rPr>
      <w:rFonts w:ascii="Times New Roman" w:hAnsi="Times New Roman" w:cs="Times New Roman"/>
      <w:color w:val="000000"/>
    </w:rPr>
  </w:style>
  <w:style w:type="paragraph" w:styleId="NoSpacing">
    <w:name w:val="No Spacing"/>
    <w:uiPriority w:val="1"/>
    <w:qFormat/>
    <w:rsid w:val="00655827"/>
  </w:style>
  <w:style w:type="character" w:styleId="FollowedHyperlink">
    <w:name w:val="FollowedHyperlink"/>
    <w:basedOn w:val="DefaultParagraphFont"/>
    <w:uiPriority w:val="99"/>
    <w:semiHidden/>
    <w:unhideWhenUsed/>
    <w:rsid w:val="00F514BC"/>
    <w:rPr>
      <w:color w:val="0074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kaplan@childrenshospital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ildrenshospitals.org/content/public-policy/federal-guidance/surprise-billing-ru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renshospitals.org/content/public%20policy/fact%20sheet/federal%20hospital%20and%20payer%20price%20disclosure%20require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1-10-07/pdf/2021-21441.pdf" TargetMode="External"/><Relationship Id="rId5" Type="http://schemas.openxmlformats.org/officeDocument/2006/relationships/numbering" Target="numbering.xml"/><Relationship Id="rId15" Type="http://schemas.openxmlformats.org/officeDocument/2006/relationships/hyperlink" Target="https://www.dol.gov/sites/dolgov/files/ebsa/laws-and-regulations/laws/no-surprises-act/surprise-billing-part-ii-information-collection-documents-attachment-3.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laws-and-regulations/laws/no-surprises-act/surprise-billing-part-ii-information-collection-documents-attachment-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HA">
      <a:dk1>
        <a:sysClr val="windowText" lastClr="000000"/>
      </a:dk1>
      <a:lt1>
        <a:srgbClr val="FFFFFF"/>
      </a:lt1>
      <a:dk2>
        <a:srgbClr val="43525A"/>
      </a:dk2>
      <a:lt2>
        <a:srgbClr val="FFFFFF"/>
      </a:lt2>
      <a:accent1>
        <a:srgbClr val="0075BC"/>
      </a:accent1>
      <a:accent2>
        <a:srgbClr val="8DC63F"/>
      </a:accent2>
      <a:accent3>
        <a:srgbClr val="D5E05B"/>
      </a:accent3>
      <a:accent4>
        <a:srgbClr val="00ABBD"/>
      </a:accent4>
      <a:accent5>
        <a:srgbClr val="F58220"/>
      </a:accent5>
      <a:accent6>
        <a:srgbClr val="ED1C24"/>
      </a:accent6>
      <a:hlink>
        <a:srgbClr val="0074BC"/>
      </a:hlink>
      <a:folHlink>
        <a:srgbClr val="0074BC"/>
      </a:folHlink>
    </a:clrScheme>
    <a:fontScheme name="CH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AA720825657A2749B9C290BC94C07AF3" ma:contentTypeVersion="1" ma:contentTypeDescription="Upload an image or a photograph." ma:contentTypeScope="" ma:versionID="8cf70f4244cebb7a157278a332cc907e">
  <xsd:schema xmlns:xsd="http://www.w3.org/2001/XMLSchema" xmlns:xs="http://www.w3.org/2001/XMLSchema" xmlns:p="http://schemas.microsoft.com/office/2006/metadata/properties" xmlns:ns1="http://schemas.microsoft.com/sharepoint/v3" targetNamespace="http://schemas.microsoft.com/office/2006/metadata/properties" ma:root="true" ma:fieldsID="74b736b3e4adc4171cb333377ab0aaac"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1E338-319C-4015-BD8F-328AD5B4BAE0}">
  <ds:schemaRefs>
    <ds:schemaRef ds:uri="http://schemas.openxmlformats.org/officeDocument/2006/bibliography"/>
  </ds:schemaRefs>
</ds:datastoreItem>
</file>

<file path=customXml/itemProps2.xml><?xml version="1.0" encoding="utf-8"?>
<ds:datastoreItem xmlns:ds="http://schemas.openxmlformats.org/officeDocument/2006/customXml" ds:itemID="{18B853BD-E590-4364-AE1D-55CD52FF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646BE-8AD0-4FE0-8216-2ED2389FB9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FE76725-FE63-4C26-A000-E8B554D21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2755</Words>
  <Characters>18851</Characters>
  <Application>Microsoft Office Word</Application>
  <DocSecurity>0</DocSecurity>
  <Lines>1256</Lines>
  <Paragraphs>982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Drioane</dc:creator>
  <cp:lastModifiedBy>Anna Megel</cp:lastModifiedBy>
  <cp:revision>2</cp:revision>
  <cp:lastPrinted>2021-07-22T19:23:00Z</cp:lastPrinted>
  <dcterms:created xsi:type="dcterms:W3CDTF">2022-08-30T14:48:00Z</dcterms:created>
  <dcterms:modified xsi:type="dcterms:W3CDTF">2022-08-30T14:48:00Z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0x01010200AA720825657A2749B9C290BC94C07AF3</vt:lpwstr>
  </property>
</Properties>
</file>